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说  明</w:t>
      </w:r>
    </w:p>
    <w:p>
      <w:pPr>
        <w:topLinePunct/>
        <w:jc w:val="center"/>
        <w:rPr>
          <w:rFonts w:hint="eastAsia"/>
          <w:sz w:val="48"/>
          <w:szCs w:val="48"/>
        </w:rPr>
      </w:pPr>
    </w:p>
    <w:p>
      <w:pPr>
        <w:topLinePunct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经市财经工作领导小组会议、市政府常务会议、市委常委会议研究同意，并经市六届人大三次会议审查批准，2019年市本级预算按“四保一调”的原则编制，即“保工资、保运转、保基本民生”、保“三大攻坚战”等政策性支出和市委、市政府确定的重点支出，同时适当调减部分项目支出额度。根据上述原则，除教育系统外，将一般公共预算安排项目支出50万元以上部门预算单位的项目支出、纳入预算管理的非税收入安排支出、重点项目预</w:t>
      </w:r>
      <w:bookmarkStart w:id="0" w:name="_GoBack"/>
      <w:bookmarkEnd w:id="0"/>
      <w:r>
        <w:rPr>
          <w:rFonts w:hint="eastAsia"/>
          <w:sz w:val="30"/>
          <w:szCs w:val="30"/>
        </w:rPr>
        <w:t>算中除三大攻坚战、民生配套支出外的其他项目支出统一按15%比例进行了调减。</w:t>
      </w:r>
    </w:p>
    <w:p>
      <w:pPr>
        <w:topLinePunct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益阳市房地产管理局</w:t>
      </w:r>
      <w:r>
        <w:rPr>
          <w:rFonts w:hint="eastAsia"/>
          <w:sz w:val="30"/>
          <w:szCs w:val="30"/>
        </w:rPr>
        <w:t>单位项目支出调减_</w:t>
      </w:r>
      <w:r>
        <w:rPr>
          <w:rFonts w:hint="eastAsia"/>
          <w:sz w:val="30"/>
          <w:szCs w:val="30"/>
          <w:u w:val="single"/>
        </w:rPr>
        <w:t>_</w:t>
      </w:r>
      <w:r>
        <w:rPr>
          <w:rFonts w:hint="eastAsia"/>
          <w:sz w:val="30"/>
          <w:szCs w:val="30"/>
          <w:u w:val="single"/>
          <w:lang w:val="en-US" w:eastAsia="zh-CN"/>
        </w:rPr>
        <w:t>10.84</w:t>
      </w:r>
      <w:r>
        <w:rPr>
          <w:rFonts w:hint="eastAsia"/>
          <w:sz w:val="30"/>
          <w:szCs w:val="30"/>
          <w:u w:val="single"/>
        </w:rPr>
        <w:t>_</w:t>
      </w:r>
      <w:r>
        <w:rPr>
          <w:rFonts w:hint="eastAsia"/>
          <w:sz w:val="30"/>
          <w:szCs w:val="30"/>
        </w:rPr>
        <w:t>_万元，部门预算批复总金额同比调减</w:t>
      </w:r>
      <w:r>
        <w:rPr>
          <w:rFonts w:hint="eastAsia"/>
          <w:sz w:val="30"/>
          <w:szCs w:val="30"/>
          <w:u w:val="single"/>
        </w:rPr>
        <w:t>__</w:t>
      </w:r>
      <w:r>
        <w:rPr>
          <w:rFonts w:hint="eastAsia"/>
          <w:sz w:val="30"/>
          <w:szCs w:val="30"/>
          <w:u w:val="single"/>
          <w:lang w:val="en-US" w:eastAsia="zh-CN"/>
        </w:rPr>
        <w:t>10.84</w:t>
      </w:r>
      <w:r>
        <w:rPr>
          <w:rFonts w:hint="eastAsia"/>
          <w:sz w:val="30"/>
          <w:szCs w:val="30"/>
          <w:u w:val="single"/>
        </w:rPr>
        <w:t>___</w:t>
      </w:r>
      <w:r>
        <w:rPr>
          <w:rFonts w:hint="eastAsia"/>
          <w:sz w:val="30"/>
          <w:szCs w:val="30"/>
        </w:rPr>
        <w:t>万元。</w:t>
      </w:r>
    </w:p>
    <w:p>
      <w:pPr>
        <w:rPr>
          <w:sz w:val="30"/>
          <w:szCs w:val="30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97E85"/>
    <w:rsid w:val="1C6C7C7C"/>
    <w:rsid w:val="24F97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2019-01-29T06:40:00Z</dcterms:created>
  <dc:creator>房管局</dc:creator>
  <cp:lastModifiedBy>房管局</cp:lastModifiedBy>
  <dcterms:modified xsi:type="dcterms:W3CDTF">2019-01-29T06:54:40Z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