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4C" w:rsidRPr="00FF61DE" w:rsidRDefault="00FF61DE" w:rsidP="00FF61DE">
      <w:pPr>
        <w:jc w:val="center"/>
        <w:rPr>
          <w:b/>
          <w:sz w:val="36"/>
          <w:szCs w:val="36"/>
        </w:rPr>
      </w:pPr>
      <w:r w:rsidRPr="00FF61DE">
        <w:rPr>
          <w:rFonts w:hint="eastAsia"/>
          <w:b/>
          <w:sz w:val="36"/>
          <w:szCs w:val="36"/>
        </w:rPr>
        <w:t>市疾控中心</w:t>
      </w:r>
      <w:r w:rsidR="00B02492" w:rsidRPr="00FF61DE">
        <w:rPr>
          <w:rFonts w:hint="eastAsia"/>
          <w:b/>
          <w:sz w:val="36"/>
          <w:szCs w:val="36"/>
        </w:rPr>
        <w:t>2018</w:t>
      </w:r>
      <w:r w:rsidR="00B02492" w:rsidRPr="00FF61DE">
        <w:rPr>
          <w:rFonts w:hint="eastAsia"/>
          <w:b/>
          <w:sz w:val="36"/>
          <w:szCs w:val="36"/>
        </w:rPr>
        <w:t>年预算公开补充说明</w:t>
      </w:r>
    </w:p>
    <w:p w:rsidR="00FF61DE" w:rsidRPr="00FF61DE" w:rsidRDefault="00FF61DE" w:rsidP="00FF61DE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>国有资产占用情况说明</w:t>
      </w:r>
    </w:p>
    <w:p w:rsidR="00FF61DE" w:rsidRPr="00FF61DE" w:rsidRDefault="00B02492" w:rsidP="00FF61DE">
      <w:pPr>
        <w:rPr>
          <w:rFonts w:ascii="仿宋" w:eastAsia="仿宋" w:hAnsi="仿宋" w:hint="eastAsia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 xml:space="preserve">2018年单位车辆合计2辆，其中：一般公务用车1辆，业务用车1辆。单价50万元（含）以上专用设备6套,单价100万元（含）以专用设备1套。      </w:t>
      </w:r>
    </w:p>
    <w:p w:rsidR="00FF61DE" w:rsidRPr="00FF61DE" w:rsidRDefault="00FF61DE" w:rsidP="00FF61D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  <w:r w:rsidR="00B02492" w:rsidRPr="00FF61DE">
        <w:rPr>
          <w:rFonts w:ascii="仿宋" w:eastAsia="仿宋" w:hAnsi="仿宋" w:hint="eastAsia"/>
          <w:sz w:val="32"/>
          <w:szCs w:val="32"/>
        </w:rPr>
        <w:t xml:space="preserve">                                             </w:t>
      </w:r>
    </w:p>
    <w:p w:rsidR="00B02492" w:rsidRPr="00FF61DE" w:rsidRDefault="00B02492">
      <w:pPr>
        <w:rPr>
          <w:rFonts w:ascii="仿宋" w:eastAsia="仿宋" w:hAnsi="仿宋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>2018年，本单位按照有关政策文件和市财政局要求开展预算绩效管理工作，一是加强绩效目标管理。在编制2018年部门预算时，本单位将所有预算资金纳入绩效目标管理，实现了绩效目标与部门预算同步编制、同步申报。经市人大批准后，在规定时间内，市财政局将绩效目标批复给本单位作为预算执行和监督的依据；二是开展了绩效运行跟踪监控。按照市财政局益财绩[2018]76号文件要求，我单位对食品安全风险监测体系建设项目开展了跟踪监控，对存在的问题及时予以纠正；三是按要求做好了绩效自评和结果公开。根据市财政局文件要求，本单位抽调专人成立绩效评价工作小组，对2017年食品安全风险监测体系建设项目开展了绩效自评。</w:t>
      </w:r>
    </w:p>
    <w:sectPr w:rsidR="00B02492" w:rsidRPr="00FF61DE" w:rsidSect="0041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28" w:rsidRDefault="00114C28" w:rsidP="00FF61DE">
      <w:r>
        <w:separator/>
      </w:r>
    </w:p>
  </w:endnote>
  <w:endnote w:type="continuationSeparator" w:id="0">
    <w:p w:rsidR="00114C28" w:rsidRDefault="00114C28" w:rsidP="00FF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28" w:rsidRDefault="00114C28" w:rsidP="00FF61DE">
      <w:r>
        <w:separator/>
      </w:r>
    </w:p>
  </w:footnote>
  <w:footnote w:type="continuationSeparator" w:id="0">
    <w:p w:rsidR="00114C28" w:rsidRDefault="00114C28" w:rsidP="00FF6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7B0"/>
    <w:multiLevelType w:val="hybridMultilevel"/>
    <w:tmpl w:val="B79A1FB6"/>
    <w:lvl w:ilvl="0" w:tplc="B5A4E6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92"/>
    <w:rsid w:val="00114C28"/>
    <w:rsid w:val="0041494C"/>
    <w:rsid w:val="009E05A7"/>
    <w:rsid w:val="00B02492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1DE"/>
    <w:rPr>
      <w:sz w:val="18"/>
      <w:szCs w:val="18"/>
    </w:rPr>
  </w:style>
  <w:style w:type="paragraph" w:styleId="a5">
    <w:name w:val="List Paragraph"/>
    <w:basedOn w:val="a"/>
    <w:uiPriority w:val="34"/>
    <w:qFormat/>
    <w:rsid w:val="00FF61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2019-01-28T08:24:00Z</dcterms:created>
  <dcterms:modified xsi:type="dcterms:W3CDTF">2019-01-29T03:34:00Z</dcterms:modified>
</cp:coreProperties>
</file>