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市</w:t>
      </w:r>
      <w:r>
        <w:rPr>
          <w:rFonts w:hint="eastAsia"/>
          <w:b/>
          <w:sz w:val="36"/>
          <w:szCs w:val="36"/>
          <w:lang w:eastAsia="zh-CN"/>
        </w:rPr>
        <w:t>中心医院</w:t>
      </w:r>
      <w:r>
        <w:rPr>
          <w:rFonts w:hint="eastAsia"/>
          <w:b/>
          <w:sz w:val="36"/>
          <w:szCs w:val="36"/>
        </w:rPr>
        <w:t>2018年预算公开补充说明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国有资产占用情况说明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2018年单位车辆合计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辆，其中：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特种专业技术</w:t>
      </w:r>
      <w:r>
        <w:rPr>
          <w:rFonts w:hint="eastAsia" w:ascii="仿宋" w:hAnsi="仿宋" w:eastAsia="仿宋"/>
          <w:sz w:val="32"/>
          <w:szCs w:val="32"/>
        </w:rPr>
        <w:t>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辆，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辆。单价50万元（含）以上专用设备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36台</w:t>
      </w:r>
      <w:r>
        <w:rPr>
          <w:rFonts w:hint="eastAsia" w:ascii="仿宋" w:hAnsi="仿宋" w:eastAsia="仿宋"/>
          <w:sz w:val="32"/>
          <w:szCs w:val="32"/>
        </w:rPr>
        <w:t>,单价100万元（含）以专用设备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  <w:lang w:eastAsia="zh-CN"/>
        </w:rPr>
        <w:t>台</w:t>
      </w:r>
      <w:r>
        <w:rPr>
          <w:rFonts w:hint="eastAsia" w:ascii="仿宋" w:hAnsi="仿宋" w:eastAsia="仿宋"/>
          <w:sz w:val="32"/>
          <w:szCs w:val="32"/>
        </w:rPr>
        <w:t xml:space="preserve">。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等预算绩效情况说明                                             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C17B0"/>
    <w:multiLevelType w:val="multilevel"/>
    <w:tmpl w:val="3F9C17B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492"/>
    <w:rsid w:val="00114C28"/>
    <w:rsid w:val="0041494C"/>
    <w:rsid w:val="0047230D"/>
    <w:rsid w:val="009E05A7"/>
    <w:rsid w:val="00B0249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2019-01-28T08:24:00Z</dcterms:created>
  <dc:creator>Administrator</dc:creator>
  <cp:lastModifiedBy>Administrator</cp:lastModifiedBy>
  <dcterms:modified xsi:type="dcterms:W3CDTF">2019-01-31T08:59:16Z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