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2018年预算公开补充说明</w:t>
      </w:r>
    </w:p>
    <w:p>
      <w:pPr>
        <w:spacing w:line="550" w:lineRule="exact"/>
        <w:rPr>
          <w:rFonts w:ascii="仿宋" w:hAnsi="仿宋" w:eastAsia="仿宋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七、国有资产占用情况说明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无公务用车。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本单位无</w:t>
      </w:r>
      <w:r>
        <w:rPr>
          <w:rFonts w:hint="eastAsia" w:ascii="仿宋_GB2312" w:eastAsia="仿宋_GB2312"/>
          <w:sz w:val="32"/>
          <w:szCs w:val="32"/>
        </w:rPr>
        <w:t>单价50万元（含）以上通用设备。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本单位无</w:t>
      </w:r>
      <w:r>
        <w:rPr>
          <w:rFonts w:hint="eastAsia" w:ascii="仿宋_GB2312" w:eastAsia="仿宋_GB2312"/>
          <w:sz w:val="32"/>
          <w:szCs w:val="32"/>
        </w:rPr>
        <w:t>单价100万元（含）以上通用设备。</w:t>
      </w:r>
    </w:p>
    <w:p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八、重点项目预算的绩效目标等预算绩效情况说明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本单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位无重点项目预算。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  <w:rsid w:val="120860AC"/>
    <w:rsid w:val="31A462E7"/>
    <w:rsid w:val="6AB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22</TotalTime>
  <ScaleCrop>false</ScaleCrop>
  <LinksUpToDate>false</LinksUpToDate>
  <CharactersWithSpaces>548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2019-01-28T03:41:00Z</dcterms:created>
  <dc:creator>何东</dc:creator>
  <cp:lastModifiedBy>Administrator</cp:lastModifiedBy>
  <dcterms:modified xsi:type="dcterms:W3CDTF">2019-01-31T01:24:54Z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