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益阳市审计局2018年预算公开补充说明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一、国有资产占用情况说明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2018年单位车辆合计3辆，其中：一般公务用车3辆。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单价50万元（含）以上通用设备：无。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单价100万元（含）以上通用设备：无。</w:t>
      </w:r>
      <w:bookmarkStart w:id="0" w:name="_GoBack"/>
      <w:bookmarkEnd w:id="0"/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二、重点项目预算的绩效目标等预算绩效情况说明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2018年，本部门按照有关政策文件和市财政局要求开展预算绩效管理工作，一是加强绩效目标管理。在编制2018年部门预算时，本部门将所有预算资金纳入绩效目标管理，实现了绩效目标与部门预算同步编制、同步申报。经市人大批准后，在规定时间内，市财政局将绩效目标批复给本部门作为预算执行和监督的依据；二是开展绩效运行跟踪监控。按照市财政局益财[2016]146号文件要求，我部门及所属单位对政府投资审计项目、经济责任审计项目等开展跟踪监控，对存在的问题及时予以纠正；三是做好绩效自评和结果公开。根据市财政局文件要求，本部门抽调专人成立绩效评价工作小组，对2018年部门整体支出和2018年度部门预算公开等项目开展了绩效自评，将自评结果在本部门网站进行了公开。四是扎实做好整改工作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DC0"/>
    <w:rsid w:val="00015DC0"/>
    <w:rsid w:val="00CC65EB"/>
    <w:rsid w:val="367D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400</Characters>
  <Lines>3</Lines>
  <Paragraphs>1</Paragraphs>
  <TotalTime>2</TotalTime>
  <ScaleCrop>false</ScaleCrop>
  <LinksUpToDate>false</LinksUpToDate>
  <CharactersWithSpaces>469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2019-01-24T06:39:00Z</dcterms:created>
  <dc:creator>Administrator</dc:creator>
  <cp:lastModifiedBy>夏日的风</cp:lastModifiedBy>
  <dcterms:modified xsi:type="dcterms:W3CDTF">2019-01-24T07:00:29Z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