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kern w:val="0"/>
          <w:sz w:val="44"/>
          <w:szCs w:val="44"/>
        </w:rPr>
      </w:pPr>
      <w:r>
        <w:rPr>
          <w:rFonts w:ascii="Times New Roman" w:hAnsi="Times New Roman" w:eastAsia="方正小标宋简体"/>
          <w:sz w:val="44"/>
          <w:szCs w:val="44"/>
        </w:rPr>
        <w:t>益阳市统计局2019年度部门决算公开</w:t>
      </w:r>
    </w:p>
    <w:p>
      <w:pPr>
        <w:widowControl/>
        <w:jc w:val="center"/>
        <w:rPr>
          <w:rFonts w:ascii="Times New Roman" w:hAnsi="Times New Roman"/>
          <w:b/>
          <w:bCs/>
          <w:kern w:val="0"/>
          <w:sz w:val="44"/>
          <w:szCs w:val="44"/>
        </w:rPr>
      </w:pPr>
    </w:p>
    <w:p>
      <w:pPr>
        <w:widowControl/>
        <w:jc w:val="center"/>
        <w:rPr>
          <w:rFonts w:ascii="Times New Roman" w:hAnsi="Times New Roman"/>
          <w:b/>
          <w:bCs/>
          <w:kern w:val="0"/>
          <w:sz w:val="44"/>
          <w:szCs w:val="44"/>
        </w:rPr>
      </w:pPr>
      <w:r>
        <w:rPr>
          <w:rFonts w:ascii="Times New Roman" w:hAnsi="Times New Roman"/>
          <w:b/>
          <w:bCs/>
          <w:kern w:val="0"/>
          <w:sz w:val="44"/>
          <w:szCs w:val="44"/>
        </w:rPr>
        <w:t>目录</w:t>
      </w:r>
    </w:p>
    <w:p>
      <w:pPr>
        <w:widowControl/>
        <w:jc w:val="center"/>
        <w:rPr>
          <w:rFonts w:ascii="Times New Roman" w:hAnsi="Times New Roman"/>
          <w:b/>
          <w:bCs/>
          <w:kern w:val="0"/>
          <w:sz w:val="44"/>
          <w:szCs w:val="44"/>
        </w:rPr>
      </w:pPr>
    </w:p>
    <w:p>
      <w:pPr>
        <w:widowControl/>
        <w:rPr>
          <w:rFonts w:ascii="Times New Roman" w:hAnsi="Times New Roman" w:eastAsia="仿宋_GB2312"/>
          <w:b/>
          <w:bCs/>
          <w:kern w:val="0"/>
          <w:sz w:val="32"/>
          <w:szCs w:val="32"/>
        </w:rPr>
      </w:pPr>
      <w:r>
        <w:rPr>
          <w:rFonts w:ascii="Times New Roman" w:hAnsi="Times New Roman" w:eastAsia="仿宋_GB2312"/>
          <w:b/>
          <w:bCs/>
          <w:kern w:val="0"/>
          <w:sz w:val="32"/>
          <w:szCs w:val="32"/>
        </w:rPr>
        <w:t>第一部分  益阳市统计局概况</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一、部门职责</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二、机构设置</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三、部门决算单位构成</w:t>
      </w:r>
    </w:p>
    <w:p>
      <w:pPr>
        <w:widowControl/>
        <w:rPr>
          <w:rFonts w:ascii="Times New Roman" w:hAnsi="Times New Roman" w:eastAsia="仿宋_GB2312"/>
          <w:b/>
          <w:bCs/>
          <w:kern w:val="0"/>
          <w:sz w:val="32"/>
          <w:szCs w:val="32"/>
        </w:rPr>
      </w:pPr>
      <w:r>
        <w:rPr>
          <w:rFonts w:ascii="Times New Roman" w:hAnsi="Times New Roman" w:eastAsia="仿宋_GB2312"/>
          <w:b/>
          <w:bCs/>
          <w:kern w:val="0"/>
          <w:sz w:val="32"/>
          <w:szCs w:val="32"/>
        </w:rPr>
        <w:t>第二部分  益阳市统计局2019年度部门决算表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一、收入支出决算总表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二、收入决算表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三、支出决算表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四、财政拨款收入支出决算总表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五、一般公共预算财政拨款支出决算表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六、一般公共预算财政拨款基本支出决算表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七、一般公共预算财政拨款“三公”经费支出决算表</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八、政府性基金预算财政拨款收入支出决算表</w:t>
      </w:r>
    </w:p>
    <w:p>
      <w:pPr>
        <w:widowControl/>
        <w:rPr>
          <w:rFonts w:ascii="Times New Roman" w:hAnsi="Times New Roman" w:eastAsia="仿宋_GB2312"/>
          <w:b/>
          <w:bCs/>
          <w:kern w:val="0"/>
          <w:sz w:val="32"/>
          <w:szCs w:val="32"/>
        </w:rPr>
      </w:pPr>
      <w:r>
        <w:rPr>
          <w:rFonts w:ascii="Times New Roman" w:hAnsi="Times New Roman" w:eastAsia="仿宋_GB2312"/>
          <w:b/>
          <w:bCs/>
          <w:kern w:val="0"/>
          <w:sz w:val="32"/>
          <w:szCs w:val="32"/>
        </w:rPr>
        <w:t>第三部分  益阳市统计局2019年度部门决算情况说明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一、收入支出决算总体情况说明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二、收入决算情况说明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三、支出决算情况说明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四、财政拨款收入支出决算总体情况说明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五、一般公共预算财政拨款支出决算情况说明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 xml:space="preserve">六、一般公共预算财政拨款基本支出决算情况说明 </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七、政府性基金预算财政拨款支出决算情况说明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八、一般公共预算财政拨款“三公”经费支出决算情况说明</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w:t>九、预算绩效情况说明</w:t>
      </w:r>
    </w:p>
    <w:p>
      <w:pPr>
        <w:widowControl/>
        <w:rPr>
          <w:rFonts w:ascii="Times New Roman" w:hAnsi="Times New Roman" w:eastAsia="仿宋_GB2312"/>
          <w:bCs/>
          <w:kern w:val="0"/>
          <w:sz w:val="32"/>
          <w:szCs w:val="32"/>
        </w:rPr>
      </w:pPr>
      <w:r>
        <w:rPr>
          <w:rFonts w:ascii="Times New Roman" w:hAnsi="Times New Roman" w:eastAsia="仿宋_GB2312"/>
          <w:bCs/>
          <w:kern w:val="0"/>
          <w:sz w:val="32"/>
          <w:szCs w:val="32"/>
        </w:rPr>
        <w:t>十、其他重要事项情况说明</w:t>
      </w:r>
    </w:p>
    <w:p>
      <w:pPr>
        <w:widowControl/>
        <w:rPr>
          <w:rFonts w:ascii="Times New Roman" w:hAnsi="Times New Roman" w:eastAsia="仿宋_GB2312"/>
          <w:b/>
          <w:bCs/>
          <w:kern w:val="0"/>
          <w:sz w:val="32"/>
          <w:szCs w:val="32"/>
        </w:rPr>
      </w:pPr>
      <w:r>
        <w:rPr>
          <w:rFonts w:ascii="Times New Roman" w:hAnsi="Times New Roman" w:eastAsia="仿宋_GB2312"/>
          <w:b/>
          <w:bCs/>
          <w:kern w:val="0"/>
          <w:sz w:val="32"/>
          <w:szCs w:val="32"/>
        </w:rPr>
        <w:t>第四部分  名词解释</w:t>
      </w:r>
    </w:p>
    <w:p>
      <w:pPr>
        <w:jc w:val="center"/>
        <w:rPr>
          <w:rFonts w:ascii="Times New Roman" w:hAnsi="Times New Roman" w:eastAsia="方正小标宋_GBK"/>
          <w:sz w:val="44"/>
          <w:szCs w:val="44"/>
        </w:rPr>
      </w:pPr>
      <w:bookmarkStart w:id="0" w:name="_GoBack"/>
      <w:bookmarkEnd w:id="0"/>
    </w:p>
    <w:p>
      <w:pPr>
        <w:jc w:val="center"/>
        <w:rPr>
          <w:rFonts w:ascii="Times New Roman" w:hAnsi="Times New Roman" w:eastAsia="方正小标宋简体"/>
          <w:sz w:val="44"/>
          <w:szCs w:val="44"/>
        </w:rPr>
      </w:pPr>
      <w:r>
        <w:rPr>
          <w:rFonts w:ascii="Times New Roman" w:hAnsi="Times New Roman" w:eastAsia="方正小标宋简体"/>
          <w:sz w:val="44"/>
          <w:szCs w:val="44"/>
        </w:rPr>
        <w:t>第一部分 益阳市统计局概况</w:t>
      </w:r>
    </w:p>
    <w:p>
      <w:pPr>
        <w:jc w:val="center"/>
        <w:rPr>
          <w:rFonts w:ascii="Times New Roman" w:hAnsi="Times New Roman" w:eastAsia="方正小标宋_GBK"/>
          <w:sz w:val="44"/>
          <w:szCs w:val="44"/>
        </w:rPr>
      </w:pPr>
    </w:p>
    <w:p>
      <w:pPr>
        <w:ind w:firstLine="960" w:firstLineChars="300"/>
        <w:rPr>
          <w:rFonts w:ascii="Times New Roman" w:hAnsi="Times New Roman" w:eastAsia="黑体"/>
          <w:sz w:val="32"/>
          <w:szCs w:val="32"/>
        </w:rPr>
      </w:pPr>
      <w:r>
        <w:rPr>
          <w:rFonts w:ascii="Times New Roman" w:hAnsi="Times New Roman" w:eastAsia="黑体"/>
          <w:sz w:val="32"/>
          <w:szCs w:val="32"/>
        </w:rPr>
        <w:t>一、部门职责</w:t>
      </w:r>
      <w:r>
        <w:rPr>
          <w:rFonts w:ascii="Times New Roman" w:hAnsi="Times New Roman" w:eastAsia="仿宋_GB2312"/>
          <w:color w:val="333333"/>
          <w:kern w:val="0"/>
          <w:sz w:val="32"/>
          <w:szCs w:val="32"/>
        </w:rPr>
        <w:t xml:space="preserve">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（一）贯彻执行国家、省统计工作的方针、政策和统计法律、法规，完成国家、省统计调查任务；检查监督统计法规的实施情况，查处各类统计违法行为。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（二）制定并组织实施全市统计改革和统计现代化建设规划及统计调查计划；建立健全全市国民经济核算体系和统计指标体系。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（三）指导和协调全市统计业务工作，组织开展全市性的市情市力普查及有关专项调查；审核市直各有关部门的统计调查计划及其调查方案。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四）为市委、市人民政府制订政策、编制国民经济和社会发展规划提供统计资料，并对全市国民经济、科技进步和社会发展等情况进行统计分析、统计预测、统计检查和监督，向市委、市人民政府及其有关部门提供统计信息和咨询建议。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（五）统一核定、管理、公布全市经济、社会、科技的基本统计资料，定期发布全市民国经济和社会发展情况统计公报以及有关普查和专项调查公报；发布社会经济统计信息。</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（六）建立健全和管理全市统计信息自动化系统和统计数据库体系；指导各基层单位加强统计基础建设。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（七）管理或代为管理城市、农村、企业调查队，组织协调全市城市、农村和企业调查工作。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八）统一管理乡（含街道）以上政府统计部门的统计事业费；协助区、县（市）管理和考核区、县（市）统计局正、副局长；全同有关部门承办全市统计专业资格考试和职务评审有关工作；组织指导全市统计科研、统计教育、统计宣传工作。 </w:t>
      </w:r>
    </w:p>
    <w:p>
      <w:pPr>
        <w:widowControl/>
        <w:shd w:val="clear" w:color="auto" w:fill="FFFFFF"/>
        <w:wordWrap w:val="0"/>
        <w:spacing w:line="580" w:lineRule="exact"/>
        <w:ind w:firstLine="697"/>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（九）承办市委、市人民政府和上级主管部门交办的其他事项。</w:t>
      </w:r>
    </w:p>
    <w:p>
      <w:pPr>
        <w:widowControl/>
        <w:shd w:val="clear" w:color="auto" w:fill="FFFFFF"/>
        <w:wordWrap w:val="0"/>
        <w:ind w:firstLine="640" w:firstLineChars="200"/>
        <w:jc w:val="left"/>
        <w:rPr>
          <w:rFonts w:ascii="Times New Roman" w:hAnsi="Times New Roman" w:eastAsia="黑体"/>
          <w:sz w:val="32"/>
          <w:szCs w:val="32"/>
        </w:rPr>
      </w:pPr>
      <w:r>
        <w:rPr>
          <w:rFonts w:ascii="Times New Roman" w:hAnsi="Times New Roman" w:eastAsia="黑体"/>
          <w:sz w:val="32"/>
          <w:szCs w:val="32"/>
        </w:rPr>
        <w:t>二、机构设置</w:t>
      </w:r>
    </w:p>
    <w:p>
      <w:pPr>
        <w:widowControl/>
        <w:rPr>
          <w:rFonts w:ascii="Times New Roman" w:hAnsi="Times New Roman"/>
          <w:kern w:val="0"/>
          <w:sz w:val="24"/>
          <w:szCs w:val="24"/>
        </w:rPr>
      </w:pPr>
      <w:r>
        <w:rPr>
          <w:rFonts w:ascii="Times New Roman" w:hAnsi="Times New Roman" w:eastAsia="黑体"/>
          <w:sz w:val="32"/>
          <w:szCs w:val="32"/>
        </w:rPr>
        <w:t xml:space="preserve">            </w:t>
      </w:r>
      <w:r>
        <w:rPr>
          <w:rFonts w:ascii="Times New Roman" w:hAnsi="Times New Roman"/>
          <w:kern w:val="0"/>
          <w:sz w:val="24"/>
          <w:szCs w:val="24"/>
        </w:rPr>
        <w:t xml:space="preserve"> </w:t>
      </w:r>
    </w:p>
    <w:p>
      <w:pPr>
        <w:widowControl/>
        <w:shd w:val="clear" w:color="auto" w:fill="FFFFFF"/>
        <w:wordWrap w:val="0"/>
        <w:ind w:firstLine="630" w:firstLineChars="300"/>
        <w:jc w:val="left"/>
        <w:rPr>
          <w:rFonts w:ascii="Times New Roman" w:hAnsi="Times New Roman" w:eastAsia="黑体"/>
          <w:sz w:val="32"/>
          <w:szCs w:val="32"/>
        </w:rPr>
      </w:pPr>
      <w:r>
        <w:rPr>
          <w:rFonts w:ascii="Times New Roman" w:hAnsi="Times New Roman"/>
        </w:rPr>
        <w:drawing>
          <wp:inline distT="0" distB="0" distL="0" distR="0">
            <wp:extent cx="4476750" cy="44075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15774" cy="4445641"/>
                    </a:xfrm>
                    <a:prstGeom prst="rect">
                      <a:avLst/>
                    </a:prstGeom>
                  </pic:spPr>
                </pic:pic>
              </a:graphicData>
            </a:graphic>
          </wp:inline>
        </w:drawing>
      </w:r>
    </w:p>
    <w:p>
      <w:pPr>
        <w:widowControl/>
        <w:shd w:val="clear" w:color="auto" w:fill="FFFFFF"/>
        <w:wordWrap w:val="0"/>
        <w:ind w:firstLine="640" w:firstLineChars="200"/>
        <w:jc w:val="left"/>
        <w:rPr>
          <w:rFonts w:ascii="Times New Roman" w:hAnsi="Times New Roman" w:eastAsia="黑体"/>
          <w:sz w:val="32"/>
          <w:szCs w:val="32"/>
        </w:rPr>
      </w:pPr>
      <w:r>
        <w:rPr>
          <w:rFonts w:ascii="Times New Roman" w:hAnsi="Times New Roman" w:eastAsia="黑体"/>
          <w:sz w:val="32"/>
          <w:szCs w:val="32"/>
        </w:rPr>
        <w:t>三、部门决算单位构成</w:t>
      </w:r>
    </w:p>
    <w:p>
      <w:pPr>
        <w:ind w:firstLine="640" w:firstLineChars="200"/>
        <w:rPr>
          <w:rFonts w:ascii="Times New Roman" w:hAnsi="Times New Roman" w:eastAsia="方正小标宋_GBK"/>
          <w:sz w:val="44"/>
          <w:szCs w:val="44"/>
        </w:rPr>
      </w:pPr>
      <w:r>
        <w:rPr>
          <w:rFonts w:ascii="Times New Roman" w:hAnsi="Times New Roman" w:eastAsia="仿宋_GB2312"/>
          <w:color w:val="333333"/>
          <w:kern w:val="0"/>
          <w:sz w:val="32"/>
          <w:szCs w:val="32"/>
        </w:rPr>
        <w:t>从决算单位构成看，益阳市统计局部门决算仅包括本级部门决算。</w:t>
      </w:r>
    </w:p>
    <w:p>
      <w:pPr>
        <w:jc w:val="center"/>
        <w:rPr>
          <w:rFonts w:ascii="Times New Roman" w:hAnsi="Times New Roman" w:eastAsia="方正小标宋简体"/>
          <w:sz w:val="44"/>
          <w:szCs w:val="44"/>
        </w:rPr>
      </w:pPr>
      <w:r>
        <w:rPr>
          <w:rFonts w:ascii="Times New Roman" w:hAnsi="Times New Roman" w:eastAsia="方正小标宋简体"/>
          <w:sz w:val="44"/>
          <w:szCs w:val="44"/>
        </w:rPr>
        <w:t xml:space="preserve">第二部分 </w:t>
      </w:r>
    </w:p>
    <w:p>
      <w:pPr>
        <w:jc w:val="center"/>
        <w:rPr>
          <w:rFonts w:ascii="Times New Roman" w:hAnsi="Times New Roman" w:eastAsia="方正小标宋简体"/>
          <w:sz w:val="44"/>
          <w:szCs w:val="44"/>
        </w:rPr>
      </w:pPr>
      <w:r>
        <w:rPr>
          <w:rFonts w:ascii="Times New Roman" w:hAnsi="Times New Roman" w:eastAsia="方正小标宋简体"/>
          <w:sz w:val="44"/>
          <w:szCs w:val="44"/>
        </w:rPr>
        <w:t>益阳市统计局2019年度部门决算表</w:t>
      </w:r>
    </w:p>
    <w:p>
      <w:pPr>
        <w:ind w:firstLine="640" w:firstLineChars="200"/>
        <w:rPr>
          <w:rFonts w:ascii="Times New Roman" w:hAnsi="Times New Roman" w:eastAsia="仿宋"/>
          <w:sz w:val="32"/>
          <w:szCs w:val="32"/>
        </w:rPr>
      </w:pP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公开01表：收入支出决算总表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公开02表：收入决算表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公开03表：支出决算表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公开04表：财政拨款收入支出决算总表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公开05表：一般公共预算财政拨款支出决算表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公开06表：一般公共预算财政拨款基本支出决算表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公开07表：一般公共预算财政拨款“三公”经费支出决算表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公开08表：政府性基金预算财政拨款收入支出决算表</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见附件</w:t>
      </w:r>
    </w:p>
    <w:p>
      <w:pPr>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表8无数据，益阳市统计局没有政府性基金收入，也没有政府性基金安排的支出，故本表无数据。</w:t>
      </w:r>
    </w:p>
    <w:p>
      <w:pPr>
        <w:ind w:firstLine="640" w:firstLineChars="200"/>
        <w:jc w:val="left"/>
        <w:rPr>
          <w:rFonts w:ascii="Times New Roman" w:hAnsi="Times New Roman" w:eastAsia="仿宋_GB2312"/>
          <w:color w:val="333333"/>
          <w:kern w:val="0"/>
          <w:sz w:val="32"/>
          <w:szCs w:val="32"/>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第三部分</w:t>
      </w:r>
    </w:p>
    <w:p>
      <w:pPr>
        <w:jc w:val="center"/>
        <w:rPr>
          <w:rFonts w:ascii="Times New Roman" w:hAnsi="Times New Roman" w:eastAsia="方正小标宋简体"/>
          <w:sz w:val="44"/>
          <w:szCs w:val="44"/>
        </w:rPr>
      </w:pPr>
      <w:r>
        <w:rPr>
          <w:rFonts w:ascii="Times New Roman" w:hAnsi="Times New Roman" w:eastAsia="方正小标宋简体"/>
          <w:sz w:val="44"/>
          <w:szCs w:val="44"/>
        </w:rPr>
        <w:t>益阳市统计局2019年度部门决算情况说明</w:t>
      </w:r>
    </w:p>
    <w:p>
      <w:pPr>
        <w:ind w:firstLine="640" w:firstLineChars="200"/>
        <w:jc w:val="left"/>
        <w:rPr>
          <w:rFonts w:ascii="Times New Roman" w:hAnsi="Times New Roman" w:eastAsia="黑体"/>
          <w:sz w:val="32"/>
          <w:szCs w:val="32"/>
        </w:rPr>
      </w:pPr>
    </w:p>
    <w:p>
      <w:pPr>
        <w:ind w:firstLine="640" w:firstLineChars="200"/>
        <w:jc w:val="left"/>
        <w:rPr>
          <w:rFonts w:ascii="Times New Roman" w:hAnsi="Times New Roman" w:eastAsia="黑体"/>
          <w:sz w:val="32"/>
          <w:szCs w:val="32"/>
        </w:rPr>
      </w:pPr>
      <w:r>
        <w:rPr>
          <w:rFonts w:ascii="Times New Roman" w:hAnsi="Times New Roman" w:eastAsia="黑体"/>
          <w:sz w:val="32"/>
          <w:szCs w:val="32"/>
        </w:rPr>
        <w:t>一、关于益阳市统计局2019年度收入支出决算总体情况说明</w:t>
      </w:r>
    </w:p>
    <w:p>
      <w:pPr>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2019年度收入总计1165.49万元，比上年同期减少87.61万元，降低6.9%；支出总计1183.06万元，比上年同期减少40.44万元，降低3.3%。主要原因：压减了项目资金收入。</w:t>
      </w:r>
    </w:p>
    <w:p>
      <w:pPr>
        <w:pStyle w:val="9"/>
        <w:ind w:left="720" w:firstLine="0" w:firstLineChars="0"/>
        <w:jc w:val="left"/>
        <w:rPr>
          <w:rFonts w:ascii="Times New Roman" w:hAnsi="Times New Roman" w:eastAsia="黑体"/>
          <w:sz w:val="32"/>
          <w:szCs w:val="32"/>
        </w:rPr>
      </w:pPr>
      <w:r>
        <w:rPr>
          <w:rFonts w:ascii="Times New Roman" w:hAnsi="Times New Roman" w:eastAsia="黑体"/>
          <w:sz w:val="32"/>
          <w:szCs w:val="32"/>
        </w:rPr>
        <w:t>二、关于益阳市统计局2019年度收入决算情况说明</w:t>
      </w:r>
    </w:p>
    <w:p>
      <w:pPr>
        <w:ind w:firstLine="640" w:firstLineChars="200"/>
        <w:jc w:val="left"/>
        <w:rPr>
          <w:rFonts w:ascii="Times New Roman" w:hAnsi="Times New Roman" w:eastAsia="仿宋"/>
          <w:sz w:val="32"/>
          <w:szCs w:val="32"/>
        </w:rPr>
      </w:pPr>
      <w:r>
        <w:rPr>
          <w:rFonts w:ascii="Times New Roman" w:hAnsi="Times New Roman" w:eastAsia="仿宋_GB2312"/>
          <w:color w:val="333333"/>
          <w:kern w:val="0"/>
          <w:sz w:val="32"/>
          <w:szCs w:val="32"/>
        </w:rPr>
        <w:t>2019年度收入合计1165.49万元，其中：财政拨款收入1143.49万元，占98%；其他收入22万元，占2%。</w:t>
      </w:r>
    </w:p>
    <w:p>
      <w:pPr>
        <w:pStyle w:val="9"/>
        <w:ind w:left="720" w:firstLine="0" w:firstLineChars="0"/>
        <w:jc w:val="left"/>
        <w:rPr>
          <w:rFonts w:ascii="Times New Roman" w:hAnsi="Times New Roman" w:eastAsia="黑体"/>
          <w:sz w:val="32"/>
          <w:szCs w:val="32"/>
        </w:rPr>
      </w:pPr>
      <w:r>
        <w:rPr>
          <w:rFonts w:ascii="Times New Roman" w:hAnsi="Times New Roman" w:eastAsia="黑体"/>
          <w:sz w:val="32"/>
          <w:szCs w:val="32"/>
        </w:rPr>
        <w:t>三、关于益阳市统计局2019年度支出决算情况说明</w:t>
      </w:r>
    </w:p>
    <w:p>
      <w:pPr>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2019年度支出合计1183.06万元，其中：基本支出822.9万元，占69.5%；项目支出360.16万元，占30.5%。</w:t>
      </w:r>
    </w:p>
    <w:p>
      <w:pPr>
        <w:ind w:firstLine="640"/>
        <w:jc w:val="left"/>
        <w:rPr>
          <w:rFonts w:ascii="Times New Roman" w:hAnsi="Times New Roman" w:eastAsia="黑体"/>
          <w:sz w:val="32"/>
        </w:rPr>
      </w:pPr>
      <w:r>
        <w:rPr>
          <w:rFonts w:ascii="Times New Roman" w:hAnsi="Times New Roman" w:eastAsia="黑体"/>
          <w:sz w:val="32"/>
          <w:szCs w:val="32"/>
        </w:rPr>
        <w:t>四、关于益阳市统计局2019年度</w:t>
      </w:r>
      <w:r>
        <w:rPr>
          <w:rFonts w:ascii="Times New Roman" w:hAnsi="Times New Roman" w:eastAsia="黑体"/>
          <w:sz w:val="32"/>
        </w:rPr>
        <w:t>财政拨款收入支出决算总体情况说明</w:t>
      </w:r>
    </w:p>
    <w:p>
      <w:pPr>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 2019年度财政拨款收入总计1143.49万元，比上年同期减少了18.21万元，降低1.5%；财政拨款支出总计1183.06万元，比上年同期增长0.56万元，增长0.4%。主要原因：压减了项目资金收入，调整公务员基本工资开支。</w:t>
      </w:r>
    </w:p>
    <w:p>
      <w:pPr>
        <w:ind w:firstLine="640" w:firstLineChars="200"/>
        <w:jc w:val="left"/>
        <w:rPr>
          <w:rFonts w:ascii="Times New Roman" w:hAnsi="Times New Roman" w:eastAsia="黑体"/>
          <w:sz w:val="32"/>
          <w:szCs w:val="32"/>
        </w:rPr>
      </w:pPr>
      <w:r>
        <w:rPr>
          <w:rFonts w:ascii="Times New Roman" w:hAnsi="Times New Roman" w:eastAsia="黑体"/>
          <w:sz w:val="32"/>
          <w:szCs w:val="32"/>
        </w:rPr>
        <w:t>五、关于益阳市统计局2019年度一般公共预算财政拨款收入支出决算情况说明</w:t>
      </w:r>
    </w:p>
    <w:p>
      <w:pPr>
        <w:ind w:firstLine="320" w:firstLineChars="100"/>
        <w:jc w:val="left"/>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（一）一般公共预算财政拨款收入支出决算总体情况。</w:t>
      </w:r>
    </w:p>
    <w:p>
      <w:pPr>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2019年度一般公共预算财政拨款收入总计1143.49万元，比上年同期减少了18.21万元，降低1.5%；一般公共预算财政拨款支出总计1183.06万元，比上年同期增长0.56万元，增长0.4%。主要原因：压减了项目资金收入，调整公务员基本工资开支。</w:t>
      </w:r>
    </w:p>
    <w:p>
      <w:pPr>
        <w:ind w:firstLine="320" w:firstLineChars="100"/>
        <w:jc w:val="left"/>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（二）一般公共预算财政拨款支出决算构成情况。</w:t>
      </w:r>
    </w:p>
    <w:p>
      <w:pPr>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   统计信息事务支出1078.11万元，占92.88%；组织事务4.14万元，占0.36%；教育支出9.48万，占0.82%，社科学技术支出15万元，占 1.3%；社会保障和就业支出7.15万元，占0.62%；住房保障支出45.58万元，占3.93%；灾害防治及应急管理支出1万元，占0.09%。</w:t>
      </w:r>
    </w:p>
    <w:p>
      <w:pPr>
        <w:ind w:firstLine="320" w:firstLineChars="100"/>
        <w:jc w:val="left"/>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（三）一般公共预算财政拨款支出决算具体情况。</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 一般公共服务支出（类）统计信息事务（款）行政运行（项）财政拨款支出804.95万元，主要用于人员工资、津补贴、社会保障缴费、其他对家庭和个人的补助。</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 一般公共服务支出（类）统计信息事务（款）一般行政管理事务（项）财政拨款支出273.16万元，主要用于办公费、印刷费、水电费、邮电费、物业管理费等。</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 一般公共服务支出（类）组织事务（款）其他组织事务（项）财政拨款支出4.14万元，主要用于办公费、印刷费、差旅费等。</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 教育支出（类）其他教育支出（款）其他教育支出（项）财政拨款支出9.48万元，主要用于办公费、印刷费、宣传费等。</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5.科学技术支出（类）其他科学技术支出（款）其他科学技术支出（项）财政拨款支出15万元，主要用于科技文化产业统计业务所需开支。</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6.社会保障和就业支出（类）行政事业单位离退休（款）归口管理的行政单位离退休（项）财政拨款支出7.15万元，主要用于在退休职工的退休津贴。</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7.住房保障支出（款）住房改革支出（项）住房公积金支出（项）财政拨款支出45.58万元，主要用于在职干职工住房公积金缴纳。</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8.灾害防治及应急管理支出（类）应急管理事务（款）安全监管（项）财政拨款支出1万元，主要用于安全监管工作奖励开支。</w:t>
      </w:r>
    </w:p>
    <w:p>
      <w:pPr>
        <w:ind w:firstLine="640" w:firstLineChars="200"/>
        <w:jc w:val="left"/>
        <w:rPr>
          <w:rFonts w:ascii="Times New Roman" w:hAnsi="Times New Roman" w:eastAsia="黑体"/>
          <w:sz w:val="32"/>
          <w:szCs w:val="32"/>
        </w:rPr>
      </w:pPr>
      <w:r>
        <w:rPr>
          <w:rFonts w:ascii="Times New Roman" w:hAnsi="Times New Roman" w:eastAsia="黑体"/>
          <w:sz w:val="32"/>
          <w:szCs w:val="32"/>
        </w:rPr>
        <w:t>六、关于益阳市统计局2019年度一般公共预算财政拨款基本支出决算情况说明</w:t>
      </w:r>
    </w:p>
    <w:p>
      <w:pPr>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2019年度一般公共预算财政拨款基本支出822.9万元，人员经费支出697.59万元，主要用于基本工资、津贴补贴、社会保障缴费、退休金、医疗费、住房公积金等；公用经费支出125.31万元，主要用于办公费、印刷费、工会经费、福利费等。</w:t>
      </w:r>
    </w:p>
    <w:p>
      <w:pPr>
        <w:ind w:firstLine="640"/>
        <w:jc w:val="left"/>
        <w:rPr>
          <w:rFonts w:ascii="Times New Roman" w:hAnsi="Times New Roman" w:eastAsia="黑体"/>
          <w:sz w:val="32"/>
        </w:rPr>
      </w:pPr>
      <w:r>
        <w:rPr>
          <w:rFonts w:ascii="Times New Roman" w:hAnsi="Times New Roman" w:eastAsia="黑体"/>
          <w:sz w:val="32"/>
        </w:rPr>
        <w:t>七、关于益阳市统计局2019年度政府性基金预算财政拨款支出决算情况说明</w:t>
      </w:r>
    </w:p>
    <w:p>
      <w:pPr>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本项收支情况无。</w:t>
      </w:r>
    </w:p>
    <w:p>
      <w:pPr>
        <w:ind w:firstLine="640" w:firstLineChars="200"/>
        <w:jc w:val="left"/>
        <w:rPr>
          <w:rFonts w:ascii="Times New Roman" w:hAnsi="Times New Roman" w:eastAsia="黑体"/>
          <w:sz w:val="32"/>
          <w:szCs w:val="32"/>
        </w:rPr>
      </w:pPr>
      <w:r>
        <w:rPr>
          <w:rFonts w:ascii="Times New Roman" w:hAnsi="Times New Roman" w:eastAsia="黑体"/>
          <w:sz w:val="32"/>
          <w:szCs w:val="32"/>
        </w:rPr>
        <w:t>八、关于益阳市统计局2019年度一般公共预算财政拨款“三公”经费支出决算情况说明</w:t>
      </w:r>
    </w:p>
    <w:p>
      <w:pPr>
        <w:ind w:firstLine="480" w:firstLineChars="150"/>
        <w:jc w:val="left"/>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（一）“三公”经费财政拨款支出决算总体情况说明。</w:t>
      </w:r>
    </w:p>
    <w:p>
      <w:pPr>
        <w:ind w:firstLine="640" w:firstLineChars="200"/>
        <w:jc w:val="left"/>
        <w:rPr>
          <w:rFonts w:ascii="Times New Roman" w:hAnsi="Times New Roman" w:eastAsia="仿宋_GB2312"/>
          <w:sz w:val="32"/>
        </w:rPr>
      </w:pPr>
      <w:r>
        <w:rPr>
          <w:rFonts w:ascii="Times New Roman" w:hAnsi="Times New Roman" w:eastAsia="仿宋_GB2312"/>
          <w:sz w:val="32"/>
        </w:rPr>
        <w:t>2019年度“三公”经费财政拨款支出预算为48万元，支出决算为39.75万元，完成预算的82.8%，其中：因公出国（境）费支出决算为 0万元，无预算；公务用车购置及运行费支出预算为23万元，决算为36.66万元，完成预算的159.3%；公务接待费支出预算为25万元，决算为3.09万元，完成预算的12%。2019年度“三公”经费支出决算数小于预算数的主要原因：积极响应国家相关政策，全体干部职工统一思想，不铺张浪费，严格控制“三公”经费的支出，努力建设节约型机关；公务用车购置及运行费支出超过预算是因为本年购置了新车，经费自筹。</w:t>
      </w:r>
    </w:p>
    <w:p>
      <w:pPr>
        <w:ind w:firstLine="640" w:firstLineChars="200"/>
        <w:jc w:val="left"/>
        <w:rPr>
          <w:rFonts w:ascii="Times New Roman" w:hAnsi="Times New Roman" w:eastAsia="仿宋_GB2312"/>
          <w:b/>
          <w:sz w:val="32"/>
        </w:rPr>
      </w:pPr>
      <w:r>
        <w:rPr>
          <w:rFonts w:ascii="Times New Roman" w:hAnsi="Times New Roman" w:eastAsia="楷体_GB2312"/>
          <w:color w:val="333333"/>
          <w:kern w:val="0"/>
          <w:sz w:val="32"/>
          <w:szCs w:val="32"/>
        </w:rPr>
        <w:t>（二）“三公”经费财政拨款支出决算具体情况说明。</w:t>
      </w:r>
    </w:p>
    <w:p>
      <w:pPr>
        <w:ind w:firstLine="640" w:firstLineChars="200"/>
        <w:jc w:val="left"/>
        <w:rPr>
          <w:rFonts w:ascii="Times New Roman" w:hAnsi="Times New Roman" w:eastAsia="仿宋_GB2312"/>
          <w:sz w:val="32"/>
        </w:rPr>
      </w:pPr>
      <w:r>
        <w:rPr>
          <w:rFonts w:ascii="Times New Roman" w:hAnsi="Times New Roman" w:eastAsia="仿宋_GB2312"/>
          <w:sz w:val="32"/>
        </w:rPr>
        <w:t xml:space="preserve"> 2019年度“三公”经费财政拨款支出决算为39.75万元，其中：因公出国（境）费支出决算为0万元，占0%；公务用车购置及运行费支出决算为24.49万元，占61%；公务接待费支出决算为 3.09万元，占39%。2019年度“三公”经费支出决算数小于上年决算数的主要原因：积极响应国家相关政策，全体干部职工统一思想，不铺张浪费，严格控制“三公”经费的支出，努力建设节约型机关。</w:t>
      </w:r>
    </w:p>
    <w:p>
      <w:pPr>
        <w:ind w:firstLine="640" w:firstLineChars="200"/>
        <w:jc w:val="left"/>
        <w:rPr>
          <w:rFonts w:ascii="Times New Roman" w:hAnsi="Times New Roman" w:eastAsia="楷体_GB2312"/>
          <w:sz w:val="32"/>
        </w:rPr>
      </w:pPr>
      <w:r>
        <w:rPr>
          <w:rFonts w:ascii="Times New Roman" w:hAnsi="Times New Roman" w:eastAsia="楷体_GB2312"/>
          <w:sz w:val="32"/>
        </w:rPr>
        <w:t>1、因公出国（境）情况说明</w:t>
      </w:r>
    </w:p>
    <w:p>
      <w:pPr>
        <w:ind w:firstLine="640"/>
        <w:jc w:val="left"/>
        <w:rPr>
          <w:rFonts w:ascii="Times New Roman" w:hAnsi="Times New Roman" w:eastAsia="仿宋_GB2312"/>
          <w:sz w:val="32"/>
        </w:rPr>
      </w:pPr>
      <w:r>
        <w:rPr>
          <w:rFonts w:ascii="Times New Roman" w:hAnsi="Times New Roman" w:eastAsia="仿宋_GB2312"/>
          <w:sz w:val="32"/>
        </w:rPr>
        <w:t>无</w:t>
      </w:r>
    </w:p>
    <w:p>
      <w:pPr>
        <w:ind w:firstLine="640"/>
        <w:jc w:val="left"/>
        <w:rPr>
          <w:rFonts w:ascii="Times New Roman" w:hAnsi="Times New Roman" w:eastAsia="楷体_GB2312"/>
          <w:sz w:val="32"/>
        </w:rPr>
      </w:pPr>
      <w:r>
        <w:rPr>
          <w:rFonts w:ascii="Times New Roman" w:hAnsi="Times New Roman" w:eastAsia="楷体_GB2312"/>
          <w:sz w:val="32"/>
        </w:rPr>
        <w:t>2、公务用车购置及运行经费情况说明</w:t>
      </w:r>
    </w:p>
    <w:p>
      <w:pPr>
        <w:ind w:firstLine="640"/>
        <w:jc w:val="left"/>
        <w:rPr>
          <w:rFonts w:ascii="Times New Roman" w:hAnsi="Times New Roman" w:eastAsia="仿宋_GB2312"/>
          <w:sz w:val="32"/>
        </w:rPr>
      </w:pPr>
      <w:r>
        <w:rPr>
          <w:rFonts w:ascii="Times New Roman" w:hAnsi="Times New Roman" w:eastAsia="仿宋_GB2312"/>
          <w:sz w:val="32"/>
        </w:rPr>
        <w:t>公务用车购置支出：24.49万元</w:t>
      </w:r>
    </w:p>
    <w:p>
      <w:pPr>
        <w:ind w:firstLine="640"/>
        <w:jc w:val="left"/>
        <w:rPr>
          <w:rFonts w:ascii="Times New Roman" w:hAnsi="Times New Roman" w:eastAsia="仿宋_GB2312"/>
          <w:sz w:val="32"/>
        </w:rPr>
      </w:pPr>
      <w:r>
        <w:rPr>
          <w:rFonts w:ascii="Times New Roman" w:hAnsi="Times New Roman" w:eastAsia="仿宋_GB2312"/>
          <w:sz w:val="32"/>
        </w:rPr>
        <w:t>公务用车运行经费支出：12.17万元，主要用于公务车辆的汽油费、过桥过路费、年检维修等。</w:t>
      </w:r>
    </w:p>
    <w:p>
      <w:pPr>
        <w:ind w:firstLine="640"/>
        <w:jc w:val="left"/>
        <w:rPr>
          <w:rFonts w:ascii="Times New Roman" w:hAnsi="Times New Roman" w:eastAsia="楷体_GB2312"/>
          <w:sz w:val="32"/>
        </w:rPr>
      </w:pPr>
      <w:r>
        <w:rPr>
          <w:rFonts w:ascii="Times New Roman" w:hAnsi="Times New Roman" w:eastAsia="楷体_GB2312"/>
          <w:sz w:val="32"/>
        </w:rPr>
        <w:t>3、公务接待情况说明</w:t>
      </w:r>
    </w:p>
    <w:p>
      <w:pPr>
        <w:ind w:firstLine="640"/>
        <w:jc w:val="left"/>
        <w:rPr>
          <w:rFonts w:ascii="Times New Roman" w:hAnsi="Times New Roman" w:eastAsia="仿宋_GB2312"/>
          <w:sz w:val="32"/>
        </w:rPr>
      </w:pPr>
      <w:r>
        <w:rPr>
          <w:rFonts w:ascii="Times New Roman" w:hAnsi="Times New Roman" w:eastAsia="仿宋_GB2312"/>
          <w:sz w:val="32"/>
        </w:rPr>
        <w:t>公务接待支出3.09万元，国内公务接待22批次，接待263人。接待支出主要用于接待省及兄弟市州、区县（市）统计局的正常公务活动接待。</w:t>
      </w:r>
    </w:p>
    <w:p>
      <w:pPr>
        <w:ind w:firstLine="640"/>
        <w:jc w:val="left"/>
        <w:rPr>
          <w:rFonts w:ascii="Times New Roman" w:hAnsi="Times New Roman" w:eastAsia="黑体"/>
          <w:sz w:val="32"/>
        </w:rPr>
      </w:pPr>
      <w:r>
        <w:rPr>
          <w:rFonts w:ascii="Times New Roman" w:hAnsi="Times New Roman" w:eastAsia="黑体"/>
          <w:sz w:val="32"/>
          <w:szCs w:val="32"/>
        </w:rPr>
        <w:t>九、</w:t>
      </w:r>
      <w:r>
        <w:rPr>
          <w:rFonts w:ascii="Times New Roman" w:hAnsi="Times New Roman" w:eastAsia="黑体"/>
          <w:sz w:val="32"/>
        </w:rPr>
        <w:t>关于 2019 年度预算绩效情况说明</w:t>
      </w:r>
    </w:p>
    <w:p>
      <w:pPr>
        <w:ind w:firstLine="640"/>
        <w:jc w:val="left"/>
        <w:rPr>
          <w:rFonts w:ascii="Times New Roman" w:hAnsi="Times New Roman" w:eastAsia="楷体"/>
          <w:sz w:val="32"/>
        </w:rPr>
      </w:pPr>
      <w:r>
        <w:rPr>
          <w:rFonts w:ascii="Times New Roman" w:hAnsi="Times New Roman" w:eastAsia="楷体"/>
          <w:sz w:val="32"/>
        </w:rPr>
        <w:t>（一）绩效管理工作开展情况 。</w:t>
      </w:r>
    </w:p>
    <w:p>
      <w:pPr>
        <w:ind w:firstLine="640"/>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2019年，本部门按照有关政策文件和市财政局要求开展预算绩效管理工作，加强了绩效目标管理。在编制2019年部门预算时，本部门将所有预算资金纳入绩效目标管理，实现了绩效目标与部门预算同步编制、同步申报。经市人大批准后，在规定时间内，市财政局将绩效目标批复给本部门作为预算执行和监督的依据。</w:t>
      </w:r>
    </w:p>
    <w:p>
      <w:pPr>
        <w:ind w:firstLine="640"/>
        <w:jc w:val="left"/>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（二）预算绩效情况的说明。</w:t>
      </w:r>
    </w:p>
    <w:p>
      <w:pPr>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从整体情况来看，我局按照年初预算进行部门整体支出。在支出过程中，能遵守各项规章制度，“三公经费”有所下降。大部分项目都制定了方案，基本按方案组织实施，并加强了监督，达到了节约、高效的支出目标。</w:t>
      </w:r>
    </w:p>
    <w:p>
      <w:pPr>
        <w:ind w:firstLine="640"/>
        <w:jc w:val="left"/>
        <w:rPr>
          <w:rFonts w:ascii="Times New Roman" w:hAnsi="Times New Roman" w:eastAsia="楷体"/>
          <w:color w:val="FF0000"/>
          <w:sz w:val="32"/>
        </w:rPr>
      </w:pPr>
      <w:r>
        <w:rPr>
          <w:rFonts w:ascii="Times New Roman" w:hAnsi="Times New Roman" w:eastAsia="黑体"/>
          <w:sz w:val="32"/>
          <w:szCs w:val="32"/>
        </w:rPr>
        <w:t>十、</w:t>
      </w:r>
      <w:r>
        <w:rPr>
          <w:rFonts w:ascii="Times New Roman" w:hAnsi="Times New Roman" w:eastAsia="黑体"/>
          <w:sz w:val="32"/>
        </w:rPr>
        <w:t>其他重要事项的情况说明</w:t>
      </w:r>
      <w:r>
        <w:rPr>
          <w:rFonts w:ascii="Times New Roman" w:hAnsi="Times New Roman" w:eastAsia="仿宋"/>
          <w:color w:val="C00000"/>
          <w:sz w:val="32"/>
          <w:szCs w:val="32"/>
        </w:rPr>
        <w:br w:type="textWrapping"/>
      </w:r>
      <w:r>
        <w:rPr>
          <w:rFonts w:ascii="Times New Roman" w:hAnsi="Times New Roman" w:eastAsia="仿宋"/>
          <w:color w:val="C00000"/>
          <w:sz w:val="32"/>
          <w:szCs w:val="32"/>
        </w:rPr>
        <w:t xml:space="preserve">    </w:t>
      </w:r>
      <w:r>
        <w:rPr>
          <w:rFonts w:ascii="Times New Roman" w:hAnsi="Times New Roman" w:eastAsia="楷体_GB2312"/>
          <w:sz w:val="32"/>
        </w:rPr>
        <w:t>（一）预决算收支增减变化情况。</w:t>
      </w:r>
    </w:p>
    <w:p>
      <w:pPr>
        <w:ind w:firstLine="64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2019年预算收入949.95万元，比上年同期增加101.7万元，增长9.5%，2019年决算收入1143.49万元，比上年同期减少18.21万元，降低1.56%；支出总计1183.06万元，比上年同期减少了40.44万元，降低3.3%。</w:t>
      </w:r>
    </w:p>
    <w:p>
      <w:pPr>
        <w:ind w:firstLine="640"/>
        <w:jc w:val="left"/>
        <w:rPr>
          <w:rFonts w:ascii="Times New Roman" w:hAnsi="Times New Roman" w:eastAsia="楷体_GB2312"/>
          <w:sz w:val="32"/>
        </w:rPr>
      </w:pPr>
      <w:r>
        <w:rPr>
          <w:rFonts w:ascii="Times New Roman" w:hAnsi="Times New Roman" w:eastAsia="楷体_GB2312"/>
          <w:sz w:val="32"/>
        </w:rPr>
        <w:t>（二）机关运行经费支出情况。</w:t>
      </w:r>
    </w:p>
    <w:p>
      <w:pPr>
        <w:shd w:val="clear" w:color="auto" w:fill="FFFFFF"/>
        <w:spacing w:after="150" w:line="513" w:lineRule="auto"/>
        <w:ind w:firstLine="480" w:firstLineChars="15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 2019年机关运行经费支出为485.12万元，较上年增加了69.48万元，增加了14%，主要原因是第七次人口普查增加了印刷费、培训、宣传费等开支。</w:t>
      </w:r>
    </w:p>
    <w:p>
      <w:pPr>
        <w:ind w:firstLine="640"/>
        <w:jc w:val="left"/>
        <w:rPr>
          <w:rFonts w:ascii="Times New Roman" w:hAnsi="Times New Roman" w:eastAsia="仿宋_GB2312"/>
          <w:color w:val="333333"/>
          <w:kern w:val="0"/>
          <w:sz w:val="32"/>
          <w:szCs w:val="32"/>
        </w:rPr>
      </w:pPr>
      <w:r>
        <w:rPr>
          <w:rFonts w:ascii="Times New Roman" w:hAnsi="Times New Roman" w:eastAsia="楷体_GB2312"/>
          <w:sz w:val="32"/>
        </w:rPr>
        <w:t>（三）政府采购支出情况。</w:t>
      </w:r>
    </w:p>
    <w:p>
      <w:pPr>
        <w:widowControl/>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2019年益阳市统计局无政府采购。</w:t>
      </w:r>
    </w:p>
    <w:p>
      <w:pPr>
        <w:ind w:firstLine="640"/>
        <w:jc w:val="left"/>
        <w:rPr>
          <w:rFonts w:ascii="Times New Roman" w:hAnsi="Times New Roman" w:eastAsia="楷体_GB2312"/>
          <w:sz w:val="32"/>
        </w:rPr>
      </w:pPr>
      <w:r>
        <w:rPr>
          <w:rFonts w:ascii="Times New Roman" w:hAnsi="Times New Roman" w:eastAsia="楷体_GB2312"/>
          <w:sz w:val="32"/>
        </w:rPr>
        <w:t>（四）国有资产占用情况。</w:t>
      </w:r>
    </w:p>
    <w:p>
      <w:pPr>
        <w:autoSpaceDE w:val="0"/>
        <w:autoSpaceDN w:val="0"/>
        <w:adjustRightInd w:val="0"/>
        <w:ind w:firstLine="640" w:firstLineChars="200"/>
        <w:jc w:val="left"/>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截至2019年12 月31 日，本部门共有车辆1辆，其中，一般公务（机要通信应急）用车1辆，用于日常工作。</w:t>
      </w:r>
    </w:p>
    <w:p>
      <w:pPr>
        <w:rPr>
          <w:rFonts w:ascii="Times New Roman" w:hAnsi="Times New Roman" w:eastAsia="方正小标宋_GBK"/>
          <w:sz w:val="44"/>
          <w:szCs w:val="44"/>
        </w:rPr>
      </w:pPr>
    </w:p>
    <w:p>
      <w:pPr>
        <w:jc w:val="center"/>
        <w:rPr>
          <w:rFonts w:ascii="Times New Roman" w:hAnsi="Times New Roman" w:eastAsia="方正小标宋_GBK"/>
          <w:sz w:val="44"/>
          <w:szCs w:val="44"/>
        </w:rPr>
      </w:pPr>
    </w:p>
    <w:p>
      <w:pPr>
        <w:jc w:val="center"/>
        <w:rPr>
          <w:rFonts w:ascii="Times New Roman" w:hAnsi="Times New Roman" w:eastAsia="方正小标宋_GBK"/>
          <w:sz w:val="44"/>
          <w:szCs w:val="44"/>
        </w:rPr>
      </w:pPr>
      <w:r>
        <w:rPr>
          <w:rFonts w:ascii="Times New Roman" w:hAnsi="Times New Roman" w:eastAsia="方正小标宋_GBK"/>
          <w:sz w:val="44"/>
          <w:szCs w:val="44"/>
        </w:rPr>
        <w:t>第四部分 名词解释</w:t>
      </w:r>
    </w:p>
    <w:p>
      <w:pPr>
        <w:ind w:firstLine="643" w:firstLineChars="200"/>
        <w:jc w:val="left"/>
        <w:rPr>
          <w:rFonts w:ascii="Times New Roman" w:hAnsi="Times New Roman" w:eastAsia="仿宋"/>
          <w:b/>
          <w:sz w:val="32"/>
          <w:szCs w:val="32"/>
        </w:rPr>
      </w:pPr>
    </w:p>
    <w:p>
      <w:pPr>
        <w:ind w:firstLine="643"/>
        <w:jc w:val="left"/>
        <w:rPr>
          <w:rFonts w:ascii="Times New Roman" w:hAnsi="Times New Roman" w:eastAsia="仿宋"/>
          <w:sz w:val="32"/>
        </w:rPr>
      </w:pPr>
      <w:r>
        <w:rPr>
          <w:rFonts w:ascii="Times New Roman" w:hAnsi="Times New Roman" w:eastAsia="仿宋"/>
          <w:b/>
          <w:sz w:val="32"/>
        </w:rPr>
        <w:t>一、财政拨款收入：</w:t>
      </w:r>
      <w:r>
        <w:rPr>
          <w:rFonts w:ascii="Times New Roman" w:hAnsi="Times New Roman" w:eastAsia="仿宋"/>
          <w:sz w:val="32"/>
        </w:rPr>
        <w:t xml:space="preserve">指中央财政当年拨付的资金。 </w:t>
      </w:r>
    </w:p>
    <w:p>
      <w:pPr>
        <w:ind w:firstLine="643"/>
        <w:jc w:val="left"/>
        <w:rPr>
          <w:rFonts w:ascii="Times New Roman" w:hAnsi="Times New Roman" w:eastAsia="仿宋"/>
          <w:sz w:val="32"/>
        </w:rPr>
      </w:pPr>
      <w:r>
        <w:rPr>
          <w:rFonts w:ascii="Times New Roman" w:hAnsi="Times New Roman" w:eastAsia="仿宋"/>
          <w:b/>
          <w:sz w:val="32"/>
        </w:rPr>
        <w:t>二、事业收入：</w:t>
      </w:r>
      <w:r>
        <w:rPr>
          <w:rFonts w:ascii="Times New Roman" w:hAnsi="Times New Roman" w:eastAsia="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Times New Roman" w:hAnsi="Times New Roman" w:eastAsia="仿宋"/>
          <w:sz w:val="32"/>
        </w:rPr>
      </w:pPr>
      <w:r>
        <w:rPr>
          <w:rFonts w:ascii="Times New Roman" w:hAnsi="Times New Roman" w:eastAsia="仿宋"/>
          <w:b/>
          <w:sz w:val="32"/>
        </w:rPr>
        <w:t>三、经营收入：</w:t>
      </w:r>
      <w:r>
        <w:rPr>
          <w:rFonts w:ascii="Times New Roman" w:hAnsi="Times New Roman" w:eastAsia="仿宋"/>
          <w:sz w:val="32"/>
        </w:rPr>
        <w:t xml:space="preserve">指事业单位在专业业务活动及其辅助活动之外开展非独立核算经营活动取得的收入。如：中国财政杂志社广告收入等。 </w:t>
      </w:r>
    </w:p>
    <w:p>
      <w:pPr>
        <w:ind w:firstLine="643"/>
        <w:jc w:val="left"/>
        <w:rPr>
          <w:rFonts w:ascii="Times New Roman" w:hAnsi="Times New Roman" w:eastAsia="仿宋"/>
          <w:sz w:val="32"/>
        </w:rPr>
      </w:pPr>
      <w:r>
        <w:rPr>
          <w:rFonts w:ascii="Times New Roman" w:hAnsi="Times New Roman" w:eastAsia="仿宋"/>
          <w:b/>
          <w:sz w:val="32"/>
        </w:rPr>
        <w:t>四、其他收入：</w:t>
      </w:r>
      <w:r>
        <w:rPr>
          <w:rFonts w:ascii="Times New Roman" w:hAnsi="Times New Roman" w:eastAsia="仿宋"/>
          <w:sz w:val="32"/>
        </w:rPr>
        <w:t xml:space="preserve">指除上述“财政拨款收入” 、 “事业收入” 、“经营收入”等以外的收入。主要是按规定动用的售房收入、存款利息收入等。 </w:t>
      </w:r>
    </w:p>
    <w:p>
      <w:pPr>
        <w:ind w:firstLine="643"/>
        <w:jc w:val="left"/>
        <w:rPr>
          <w:rFonts w:ascii="Times New Roman" w:hAnsi="Times New Roman" w:eastAsia="仿宋"/>
          <w:sz w:val="32"/>
        </w:rPr>
      </w:pPr>
      <w:r>
        <w:rPr>
          <w:rFonts w:ascii="Times New Roman" w:hAnsi="Times New Roman" w:eastAsia="仿宋"/>
          <w:b/>
          <w:sz w:val="32"/>
        </w:rPr>
        <w:t>五、用事业基金弥补收支差额：</w:t>
      </w:r>
      <w:r>
        <w:rPr>
          <w:rFonts w:ascii="Times New Roman" w:hAnsi="Times New Roman" w:eastAsia="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Times New Roman" w:hAnsi="Times New Roman" w:eastAsia="仿宋"/>
          <w:sz w:val="32"/>
        </w:rPr>
      </w:pPr>
      <w:r>
        <w:rPr>
          <w:rFonts w:ascii="Times New Roman" w:hAnsi="Times New Roman" w:eastAsia="仿宋"/>
          <w:b/>
          <w:sz w:val="32"/>
        </w:rPr>
        <w:t>六、年初结转和结余：</w:t>
      </w:r>
      <w:r>
        <w:rPr>
          <w:rFonts w:ascii="Times New Roman" w:hAnsi="Times New Roman" w:eastAsia="仿宋"/>
          <w:sz w:val="32"/>
        </w:rPr>
        <w:t xml:space="preserve">指以前年度尚未完成、结转到本年按有关规定继续使用的资金。 </w:t>
      </w:r>
    </w:p>
    <w:p>
      <w:pPr>
        <w:ind w:firstLine="643"/>
        <w:jc w:val="left"/>
        <w:rPr>
          <w:rFonts w:ascii="Times New Roman" w:hAnsi="Times New Roman" w:eastAsia="仿宋"/>
          <w:sz w:val="32"/>
        </w:rPr>
      </w:pPr>
      <w:r>
        <w:rPr>
          <w:rFonts w:ascii="Times New Roman" w:hAnsi="Times New Roman" w:eastAsia="仿宋"/>
          <w:b/>
          <w:sz w:val="32"/>
        </w:rPr>
        <w:t>七、结余分配：</w:t>
      </w:r>
      <w:r>
        <w:rPr>
          <w:rFonts w:ascii="Times New Roman" w:hAnsi="Times New Roman" w:eastAsia="仿宋"/>
          <w:sz w:val="32"/>
        </w:rPr>
        <w:t>指事业单位按规定提取的职工福利基金、事业基金和缴纳的所得税，以及建设单位按规定应交回的基本建设竣工项目结余资金。</w:t>
      </w:r>
    </w:p>
    <w:p>
      <w:pPr>
        <w:ind w:firstLine="643"/>
        <w:jc w:val="left"/>
        <w:rPr>
          <w:rFonts w:ascii="Times New Roman" w:hAnsi="Times New Roman" w:eastAsia="仿宋"/>
          <w:sz w:val="32"/>
        </w:rPr>
      </w:pPr>
      <w:r>
        <w:rPr>
          <w:rFonts w:ascii="Times New Roman" w:hAnsi="Times New Roman" w:eastAsia="仿宋"/>
          <w:b/>
          <w:sz w:val="32"/>
        </w:rPr>
        <w:t>八、年末结转和结余：</w:t>
      </w:r>
      <w:r>
        <w:rPr>
          <w:rFonts w:ascii="Times New Roman" w:hAnsi="Times New Roman" w:eastAsia="仿宋"/>
          <w:sz w:val="32"/>
        </w:rPr>
        <w:t xml:space="preserve">指本年度或以前年度预算安排、因客观条件发生变化无法按原计划实施，需要延迟到以后年度按有关规定继续使用的资金。 </w:t>
      </w:r>
    </w:p>
    <w:p>
      <w:pPr>
        <w:ind w:firstLine="643"/>
        <w:jc w:val="left"/>
        <w:rPr>
          <w:rFonts w:ascii="Times New Roman" w:hAnsi="Times New Roman" w:eastAsia="仿宋"/>
          <w:sz w:val="32"/>
        </w:rPr>
      </w:pPr>
      <w:r>
        <w:rPr>
          <w:rFonts w:ascii="Times New Roman" w:hAnsi="Times New Roman" w:eastAsia="仿宋"/>
          <w:b/>
          <w:sz w:val="32"/>
        </w:rPr>
        <w:t>九、基本支出：</w:t>
      </w:r>
      <w:r>
        <w:rPr>
          <w:rFonts w:ascii="Times New Roman" w:hAnsi="Times New Roman" w:eastAsia="仿宋"/>
          <w:sz w:val="32"/>
        </w:rPr>
        <w:t>指为保障机构正常运转、完成日常工</w:t>
      </w:r>
    </w:p>
    <w:p>
      <w:pPr>
        <w:jc w:val="left"/>
        <w:rPr>
          <w:rFonts w:ascii="Times New Roman" w:hAnsi="Times New Roman" w:eastAsia="仿宋"/>
          <w:sz w:val="32"/>
        </w:rPr>
      </w:pPr>
      <w:r>
        <w:rPr>
          <w:rFonts w:ascii="Times New Roman" w:hAnsi="Times New Roman" w:eastAsia="仿宋"/>
          <w:sz w:val="32"/>
        </w:rPr>
        <w:t xml:space="preserve">作任务而发生的人员支出和公用支出。 </w:t>
      </w:r>
    </w:p>
    <w:p>
      <w:pPr>
        <w:ind w:firstLine="643"/>
        <w:jc w:val="left"/>
        <w:rPr>
          <w:rFonts w:ascii="Times New Roman" w:hAnsi="Times New Roman" w:eastAsia="仿宋"/>
          <w:sz w:val="32"/>
        </w:rPr>
      </w:pPr>
      <w:r>
        <w:rPr>
          <w:rFonts w:ascii="Times New Roman" w:hAnsi="Times New Roman" w:eastAsia="仿宋"/>
          <w:b/>
          <w:sz w:val="32"/>
        </w:rPr>
        <w:t>十、项目支出：</w:t>
      </w:r>
      <w:r>
        <w:rPr>
          <w:rFonts w:ascii="Times New Roman" w:hAnsi="Times New Roman" w:eastAsia="仿宋"/>
          <w:sz w:val="32"/>
        </w:rPr>
        <w:t xml:space="preserve">指在基本支出之外为完成特定行政任务和事业发展目标所发生的支出。 </w:t>
      </w:r>
    </w:p>
    <w:p>
      <w:pPr>
        <w:ind w:firstLine="643"/>
        <w:jc w:val="left"/>
        <w:rPr>
          <w:rFonts w:ascii="Times New Roman" w:hAnsi="Times New Roman" w:eastAsia="仿宋"/>
          <w:sz w:val="32"/>
        </w:rPr>
      </w:pPr>
      <w:r>
        <w:rPr>
          <w:rFonts w:ascii="Times New Roman" w:hAnsi="Times New Roman" w:eastAsia="仿宋"/>
          <w:b/>
          <w:sz w:val="32"/>
        </w:rPr>
        <w:t>十一、经营支出：</w:t>
      </w:r>
      <w:r>
        <w:rPr>
          <w:rFonts w:ascii="Times New Roman" w:hAnsi="Times New Roman" w:eastAsia="仿宋"/>
          <w:sz w:val="32"/>
        </w:rPr>
        <w:t xml:space="preserve">指事业单位在专业业务活动及其辅助活动之外开展非独立核算经营活动发生的支出。 </w:t>
      </w:r>
    </w:p>
    <w:p>
      <w:pPr>
        <w:ind w:firstLine="643"/>
        <w:jc w:val="left"/>
        <w:rPr>
          <w:rFonts w:ascii="Times New Roman" w:hAnsi="Times New Roman" w:eastAsia="仿宋"/>
          <w:sz w:val="32"/>
        </w:rPr>
      </w:pPr>
      <w:r>
        <w:rPr>
          <w:rFonts w:ascii="Times New Roman" w:hAnsi="Times New Roman" w:eastAsia="仿宋"/>
          <w:b/>
          <w:sz w:val="32"/>
        </w:rPr>
        <w:t>十二、“三公”经费：</w:t>
      </w:r>
      <w:r>
        <w:rPr>
          <w:rFonts w:ascii="Times New Roman" w:hAnsi="Times New Roman" w:eastAsia="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80" w:lineRule="exact"/>
        <w:ind w:firstLine="643" w:firstLineChars="200"/>
        <w:jc w:val="left"/>
        <w:rPr>
          <w:rFonts w:ascii="Times New Roman" w:hAnsi="Times New Roman" w:eastAsia="仿宋"/>
          <w:sz w:val="32"/>
        </w:rPr>
      </w:pPr>
      <w:r>
        <w:rPr>
          <w:rFonts w:ascii="Times New Roman" w:hAnsi="Times New Roman" w:eastAsia="仿宋"/>
          <w:b/>
          <w:sz w:val="32"/>
        </w:rPr>
        <w:t>十三、机关运行经费：</w:t>
      </w:r>
      <w:r>
        <w:rPr>
          <w:rFonts w:ascii="Times New Roman" w:hAnsi="Times New Roman" w:eastAsia="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Times New Roman" w:hAnsi="Times New Roman" w:eastAsia="仿宋_GB2312"/>
          <w:color w:val="333333"/>
          <w:kern w:val="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r>
      <w:fldChar w:fldCharType="begin"/>
    </w:r>
    <w:r>
      <w:instrText xml:space="preserve">PAGE   \* MERGEFORMAT</w:instrText>
    </w:r>
    <w:r>
      <w:fldChar w:fldCharType="separate"/>
    </w:r>
    <w:r>
      <w:rPr>
        <w:lang w:val="zh-CN"/>
      </w:rPr>
      <w:t>9</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89"/>
    <w:rsid w:val="000002B3"/>
    <w:rsid w:val="00003C38"/>
    <w:rsid w:val="0000461B"/>
    <w:rsid w:val="000159C9"/>
    <w:rsid w:val="00043EE6"/>
    <w:rsid w:val="000568BC"/>
    <w:rsid w:val="00086026"/>
    <w:rsid w:val="000B3B18"/>
    <w:rsid w:val="000B6672"/>
    <w:rsid w:val="000C3C57"/>
    <w:rsid w:val="000D417B"/>
    <w:rsid w:val="000E1B73"/>
    <w:rsid w:val="00103C25"/>
    <w:rsid w:val="001347DC"/>
    <w:rsid w:val="001457F8"/>
    <w:rsid w:val="0014622A"/>
    <w:rsid w:val="00146AC7"/>
    <w:rsid w:val="00150253"/>
    <w:rsid w:val="001567CC"/>
    <w:rsid w:val="00156C68"/>
    <w:rsid w:val="0016034D"/>
    <w:rsid w:val="00165E59"/>
    <w:rsid w:val="0019284D"/>
    <w:rsid w:val="00197329"/>
    <w:rsid w:val="001A68A2"/>
    <w:rsid w:val="001C4E7E"/>
    <w:rsid w:val="001C5427"/>
    <w:rsid w:val="001D43F8"/>
    <w:rsid w:val="00206E92"/>
    <w:rsid w:val="00227F1D"/>
    <w:rsid w:val="00230E0F"/>
    <w:rsid w:val="00231674"/>
    <w:rsid w:val="00267045"/>
    <w:rsid w:val="002A7ECD"/>
    <w:rsid w:val="002B2E22"/>
    <w:rsid w:val="002D17ED"/>
    <w:rsid w:val="002D51E8"/>
    <w:rsid w:val="002E2721"/>
    <w:rsid w:val="00310C87"/>
    <w:rsid w:val="003159F9"/>
    <w:rsid w:val="00334296"/>
    <w:rsid w:val="003442DA"/>
    <w:rsid w:val="0034733E"/>
    <w:rsid w:val="0035374C"/>
    <w:rsid w:val="003604E9"/>
    <w:rsid w:val="00365F86"/>
    <w:rsid w:val="00387199"/>
    <w:rsid w:val="00392628"/>
    <w:rsid w:val="0039712C"/>
    <w:rsid w:val="003A2AAB"/>
    <w:rsid w:val="003B2406"/>
    <w:rsid w:val="003B3638"/>
    <w:rsid w:val="003B521B"/>
    <w:rsid w:val="004125D6"/>
    <w:rsid w:val="004301CC"/>
    <w:rsid w:val="004315E1"/>
    <w:rsid w:val="00433587"/>
    <w:rsid w:val="0045310F"/>
    <w:rsid w:val="00463007"/>
    <w:rsid w:val="00477C41"/>
    <w:rsid w:val="004B150E"/>
    <w:rsid w:val="004B26F8"/>
    <w:rsid w:val="004B5D01"/>
    <w:rsid w:val="004C1873"/>
    <w:rsid w:val="004C3BC3"/>
    <w:rsid w:val="004D2107"/>
    <w:rsid w:val="004D4DC4"/>
    <w:rsid w:val="004F12D6"/>
    <w:rsid w:val="004F1375"/>
    <w:rsid w:val="004F6577"/>
    <w:rsid w:val="004F7109"/>
    <w:rsid w:val="0050685B"/>
    <w:rsid w:val="005501DA"/>
    <w:rsid w:val="00557363"/>
    <w:rsid w:val="00562C1F"/>
    <w:rsid w:val="005A39F5"/>
    <w:rsid w:val="005A754B"/>
    <w:rsid w:val="005B194D"/>
    <w:rsid w:val="005D053E"/>
    <w:rsid w:val="006031B9"/>
    <w:rsid w:val="00620E5F"/>
    <w:rsid w:val="00623512"/>
    <w:rsid w:val="00624505"/>
    <w:rsid w:val="006265C8"/>
    <w:rsid w:val="00637BCC"/>
    <w:rsid w:val="00646EDF"/>
    <w:rsid w:val="00671050"/>
    <w:rsid w:val="00671789"/>
    <w:rsid w:val="00675E9E"/>
    <w:rsid w:val="00676BE4"/>
    <w:rsid w:val="006C7196"/>
    <w:rsid w:val="006D3BE5"/>
    <w:rsid w:val="006D5466"/>
    <w:rsid w:val="006D724E"/>
    <w:rsid w:val="00707C60"/>
    <w:rsid w:val="00727A90"/>
    <w:rsid w:val="007471FB"/>
    <w:rsid w:val="0076592D"/>
    <w:rsid w:val="007660BE"/>
    <w:rsid w:val="00766DFF"/>
    <w:rsid w:val="007771C5"/>
    <w:rsid w:val="00784FC9"/>
    <w:rsid w:val="007932EC"/>
    <w:rsid w:val="00793F4F"/>
    <w:rsid w:val="007A1846"/>
    <w:rsid w:val="007C0351"/>
    <w:rsid w:val="0080200C"/>
    <w:rsid w:val="008237EF"/>
    <w:rsid w:val="00843436"/>
    <w:rsid w:val="0084755A"/>
    <w:rsid w:val="00850119"/>
    <w:rsid w:val="008856B9"/>
    <w:rsid w:val="008A3118"/>
    <w:rsid w:val="008A4338"/>
    <w:rsid w:val="008A677D"/>
    <w:rsid w:val="008A6A4F"/>
    <w:rsid w:val="008B545F"/>
    <w:rsid w:val="008B7CF4"/>
    <w:rsid w:val="008C1269"/>
    <w:rsid w:val="008E559F"/>
    <w:rsid w:val="008F038B"/>
    <w:rsid w:val="008F1E42"/>
    <w:rsid w:val="008F2739"/>
    <w:rsid w:val="008F5177"/>
    <w:rsid w:val="00910E70"/>
    <w:rsid w:val="00913A4D"/>
    <w:rsid w:val="00913F47"/>
    <w:rsid w:val="00921670"/>
    <w:rsid w:val="00926D9A"/>
    <w:rsid w:val="00940184"/>
    <w:rsid w:val="00944B3C"/>
    <w:rsid w:val="00955AC1"/>
    <w:rsid w:val="00976670"/>
    <w:rsid w:val="009956CC"/>
    <w:rsid w:val="009A5161"/>
    <w:rsid w:val="009B3F90"/>
    <w:rsid w:val="009C23D6"/>
    <w:rsid w:val="009C2D1B"/>
    <w:rsid w:val="009F66BE"/>
    <w:rsid w:val="009F78EB"/>
    <w:rsid w:val="00A054B7"/>
    <w:rsid w:val="00A310D7"/>
    <w:rsid w:val="00A4786C"/>
    <w:rsid w:val="00A810C1"/>
    <w:rsid w:val="00A95239"/>
    <w:rsid w:val="00AB0D84"/>
    <w:rsid w:val="00AB3B09"/>
    <w:rsid w:val="00AB632B"/>
    <w:rsid w:val="00AD1C2C"/>
    <w:rsid w:val="00AF220C"/>
    <w:rsid w:val="00B1246C"/>
    <w:rsid w:val="00B12D56"/>
    <w:rsid w:val="00B306BE"/>
    <w:rsid w:val="00B33F4C"/>
    <w:rsid w:val="00B56C23"/>
    <w:rsid w:val="00B636D1"/>
    <w:rsid w:val="00B738D0"/>
    <w:rsid w:val="00B750BD"/>
    <w:rsid w:val="00B90E8D"/>
    <w:rsid w:val="00BB1B98"/>
    <w:rsid w:val="00BC3BA5"/>
    <w:rsid w:val="00BD2610"/>
    <w:rsid w:val="00BD3320"/>
    <w:rsid w:val="00BE4711"/>
    <w:rsid w:val="00BF6154"/>
    <w:rsid w:val="00C06E5B"/>
    <w:rsid w:val="00C1485C"/>
    <w:rsid w:val="00C14A42"/>
    <w:rsid w:val="00C17ABB"/>
    <w:rsid w:val="00C20EF2"/>
    <w:rsid w:val="00C272A6"/>
    <w:rsid w:val="00C3086D"/>
    <w:rsid w:val="00C43A32"/>
    <w:rsid w:val="00C457C6"/>
    <w:rsid w:val="00C50C6B"/>
    <w:rsid w:val="00C5516A"/>
    <w:rsid w:val="00C87D46"/>
    <w:rsid w:val="00C94CB9"/>
    <w:rsid w:val="00C9564D"/>
    <w:rsid w:val="00CC6ED5"/>
    <w:rsid w:val="00CF4726"/>
    <w:rsid w:val="00D0517B"/>
    <w:rsid w:val="00D36350"/>
    <w:rsid w:val="00D52D7D"/>
    <w:rsid w:val="00D73CF6"/>
    <w:rsid w:val="00D82B99"/>
    <w:rsid w:val="00D87408"/>
    <w:rsid w:val="00D87515"/>
    <w:rsid w:val="00D876D8"/>
    <w:rsid w:val="00DB0261"/>
    <w:rsid w:val="00DB6678"/>
    <w:rsid w:val="00DE5B47"/>
    <w:rsid w:val="00DF1585"/>
    <w:rsid w:val="00DF619E"/>
    <w:rsid w:val="00E156C5"/>
    <w:rsid w:val="00E1761C"/>
    <w:rsid w:val="00E23192"/>
    <w:rsid w:val="00E31223"/>
    <w:rsid w:val="00E40A4E"/>
    <w:rsid w:val="00E60DFA"/>
    <w:rsid w:val="00E72F50"/>
    <w:rsid w:val="00E7308F"/>
    <w:rsid w:val="00EB511B"/>
    <w:rsid w:val="00EC29BD"/>
    <w:rsid w:val="00EC575F"/>
    <w:rsid w:val="00EF2543"/>
    <w:rsid w:val="00EF623F"/>
    <w:rsid w:val="00F00FE0"/>
    <w:rsid w:val="00F302B0"/>
    <w:rsid w:val="00F34D8D"/>
    <w:rsid w:val="00F4379D"/>
    <w:rsid w:val="00F77A75"/>
    <w:rsid w:val="00F85E20"/>
    <w:rsid w:val="00FA23F8"/>
    <w:rsid w:val="00FA6467"/>
    <w:rsid w:val="00FB2666"/>
    <w:rsid w:val="00FD0AFC"/>
    <w:rsid w:val="00FE757F"/>
    <w:rsid w:val="00FF6015"/>
    <w:rsid w:val="020E1523"/>
    <w:rsid w:val="0A160604"/>
    <w:rsid w:val="15F802EF"/>
    <w:rsid w:val="1B665840"/>
    <w:rsid w:val="1B6A72DA"/>
    <w:rsid w:val="1F957631"/>
    <w:rsid w:val="244B56E5"/>
    <w:rsid w:val="25DA6A89"/>
    <w:rsid w:val="37560B14"/>
    <w:rsid w:val="3D6E5290"/>
    <w:rsid w:val="51680724"/>
    <w:rsid w:val="54D94FF1"/>
    <w:rsid w:val="5CA97107"/>
    <w:rsid w:val="67056CAB"/>
    <w:rsid w:val="6A3A5F9E"/>
    <w:rsid w:val="6A5208A0"/>
    <w:rsid w:val="6AAA0615"/>
    <w:rsid w:val="6EF4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563C1"/>
      <w:u w:val="single"/>
    </w:rPr>
  </w:style>
  <w:style w:type="paragraph" w:styleId="9">
    <w:name w:val="List Paragraph"/>
    <w:basedOn w:val="1"/>
    <w:qFormat/>
    <w:uiPriority w:val="34"/>
    <w:pPr>
      <w:ind w:firstLine="420" w:firstLineChars="200"/>
    </w:p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character" w:customStyle="1" w:styleId="12">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73160-6900-491D-92D5-705F1F3473C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797</Words>
  <Characters>4545</Characters>
  <Lines>37</Lines>
  <Paragraphs>10</Paragraphs>
  <TotalTime>355</TotalTime>
  <ScaleCrop>false</ScaleCrop>
  <LinksUpToDate>false</LinksUpToDate>
  <CharactersWithSpaces>5332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2020-09-23T07:57:00Z</dcterms:created>
  <dc:creator>微软用户</dc:creator>
  <cp:lastModifiedBy>YZR</cp:lastModifiedBy>
  <cp:lastPrinted>2019-07-25T02:44:00Z</cp:lastPrinted>
  <dcterms:modified xsi:type="dcterms:W3CDTF">2020-09-29T11:11:11Z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