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jc w:val="both"/>
        <w:textAlignment w:val="auto"/>
        <w:rPr>
          <w:rFonts w:hint="eastAsia" w:ascii="方正小标宋_GBK" w:hAnsi="方正小标宋_GBK" w:eastAsia="方正小标宋_GBK" w:cs="方正小标宋_GBK"/>
          <w:sz w:val="52"/>
          <w:szCs w:val="52"/>
          <w:lang w:eastAsia="zh-CN"/>
        </w:rPr>
      </w:pPr>
    </w:p>
    <w:p>
      <w:pPr>
        <w:keepNext w:val="0"/>
        <w:keepLines w:val="0"/>
        <w:pageBreakBefore w:val="0"/>
        <w:widowControl w:val="0"/>
        <w:kinsoku/>
        <w:wordWrap/>
        <w:overflowPunct/>
        <w:topLinePunct w:val="0"/>
        <w:autoSpaceDE/>
        <w:autoSpaceDN/>
        <w:bidi w:val="0"/>
        <w:adjustRightInd/>
        <w:snapToGrid/>
        <w:spacing w:line="800" w:lineRule="exact"/>
        <w:jc w:val="both"/>
        <w:textAlignment w:val="auto"/>
        <w:rPr>
          <w:rFonts w:hint="eastAsia" w:ascii="方正小标宋_GBK" w:hAnsi="方正小标宋_GBK" w:eastAsia="方正小标宋_GBK" w:cs="方正小标宋_GBK"/>
          <w:sz w:val="52"/>
          <w:szCs w:val="52"/>
          <w:lang w:eastAsia="zh-CN"/>
        </w:rPr>
      </w:pPr>
    </w:p>
    <w:p>
      <w:pPr>
        <w:keepNext w:val="0"/>
        <w:keepLines w:val="0"/>
        <w:pageBreakBefore w:val="0"/>
        <w:widowControl w:val="0"/>
        <w:kinsoku/>
        <w:wordWrap/>
        <w:overflowPunct/>
        <w:topLinePunct w:val="0"/>
        <w:autoSpaceDE/>
        <w:autoSpaceDN/>
        <w:bidi w:val="0"/>
        <w:adjustRightInd/>
        <w:snapToGrid/>
        <w:spacing w:line="800" w:lineRule="exact"/>
        <w:jc w:val="both"/>
        <w:textAlignment w:val="auto"/>
        <w:rPr>
          <w:rFonts w:hint="eastAsia" w:ascii="方正小标宋_GBK" w:hAnsi="方正小标宋_GBK" w:eastAsia="方正小标宋_GBK" w:cs="方正小标宋_GBK"/>
          <w:sz w:val="52"/>
          <w:szCs w:val="52"/>
          <w:lang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_GBK" w:hAnsi="方正小标宋_GBK" w:eastAsia="方正小标宋_GBK" w:cs="方正小标宋_GBK"/>
          <w:sz w:val="72"/>
          <w:szCs w:val="72"/>
          <w:lang w:eastAsia="zh-CN"/>
        </w:rPr>
      </w:pPr>
      <w:r>
        <w:rPr>
          <w:rFonts w:hint="eastAsia" w:ascii="方正小标宋_GBK" w:hAnsi="方正小标宋_GBK" w:eastAsia="方正小标宋_GBK" w:cs="方正小标宋_GBK"/>
          <w:b w:val="0"/>
          <w:bCs w:val="0"/>
          <w:sz w:val="72"/>
          <w:szCs w:val="72"/>
          <w:lang w:val="en-US" w:eastAsia="zh-CN"/>
        </w:rPr>
        <w:t>2019年度</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_GBK" w:hAnsi="方正小标宋_GBK" w:eastAsia="方正小标宋_GBK" w:cs="方正小标宋_GBK"/>
          <w:sz w:val="72"/>
          <w:szCs w:val="72"/>
          <w:lang w:val="en-US" w:eastAsia="zh-CN"/>
        </w:rPr>
      </w:pPr>
      <w:r>
        <w:rPr>
          <w:rFonts w:hint="eastAsia" w:ascii="方正小标宋_GBK" w:hAnsi="方正小标宋_GBK" w:eastAsia="方正小标宋_GBK" w:cs="方正小标宋_GBK"/>
          <w:sz w:val="72"/>
          <w:szCs w:val="72"/>
          <w:lang w:eastAsia="zh-CN"/>
        </w:rPr>
        <w:t>益阳市应急管理局（机关）</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宋体" w:hAnsi="宋体" w:eastAsia="宋体" w:cs="宋体"/>
          <w:sz w:val="72"/>
          <w:szCs w:val="72"/>
          <w:lang w:val="en-US" w:eastAsia="zh-CN"/>
        </w:rPr>
      </w:pPr>
      <w:r>
        <w:rPr>
          <w:rFonts w:hint="eastAsia" w:ascii="方正小标宋_GBK" w:hAnsi="方正小标宋_GBK" w:eastAsia="方正小标宋_GBK" w:cs="方正小标宋_GBK"/>
          <w:b w:val="0"/>
          <w:bCs w:val="0"/>
          <w:sz w:val="72"/>
          <w:szCs w:val="72"/>
          <w:lang w:val="en-US" w:eastAsia="zh-CN"/>
        </w:rPr>
        <w:t>部门决算</w:t>
      </w:r>
    </w:p>
    <w:p>
      <w:pPr>
        <w:jc w:val="center"/>
        <w:rPr>
          <w:rFonts w:hint="eastAsia" w:ascii="宋体" w:hAnsi="宋体" w:eastAsia="宋体" w:cs="宋体"/>
          <w:sz w:val="44"/>
          <w:lang w:val="en-US" w:eastAsia="zh-CN"/>
        </w:rPr>
      </w:pPr>
    </w:p>
    <w:p>
      <w:pPr>
        <w:jc w:val="center"/>
        <w:rPr>
          <w:rFonts w:hint="eastAsia" w:ascii="宋体" w:hAnsi="宋体" w:eastAsia="宋体" w:cs="宋体"/>
          <w:sz w:val="44"/>
          <w:lang w:val="en-US" w:eastAsia="zh-CN"/>
        </w:rPr>
      </w:pPr>
    </w:p>
    <w:p>
      <w:pPr>
        <w:jc w:val="center"/>
        <w:rPr>
          <w:rFonts w:hint="eastAsia" w:ascii="宋体" w:hAnsi="宋体" w:eastAsia="宋体" w:cs="宋体"/>
          <w:sz w:val="44"/>
          <w:lang w:val="en-US" w:eastAsia="zh-CN"/>
        </w:rPr>
      </w:pPr>
    </w:p>
    <w:p>
      <w:pPr>
        <w:jc w:val="center"/>
        <w:rPr>
          <w:rFonts w:hint="eastAsia" w:ascii="宋体" w:hAnsi="宋体" w:eastAsia="宋体" w:cs="宋体"/>
          <w:sz w:val="44"/>
          <w:lang w:val="en-US" w:eastAsia="zh-CN"/>
        </w:rPr>
      </w:pPr>
    </w:p>
    <w:p>
      <w:pPr>
        <w:jc w:val="both"/>
        <w:rPr>
          <w:rFonts w:hint="eastAsia" w:ascii="宋体" w:hAnsi="宋体" w:eastAsia="宋体" w:cs="宋体"/>
          <w:sz w:val="44"/>
          <w:lang w:val="en-US" w:eastAsia="zh-CN"/>
        </w:rPr>
      </w:pPr>
    </w:p>
    <w:p>
      <w:pPr>
        <w:jc w:val="both"/>
        <w:rPr>
          <w:rFonts w:hint="eastAsia" w:ascii="宋体" w:hAnsi="宋体" w:eastAsia="宋体" w:cs="宋体"/>
          <w:sz w:val="44"/>
          <w:lang w:val="en-US" w:eastAsia="zh-CN"/>
        </w:rPr>
      </w:pPr>
    </w:p>
    <w:p>
      <w:pPr>
        <w:jc w:val="center"/>
        <w:rPr>
          <w:rFonts w:hint="eastAsia" w:ascii="宋体" w:hAnsi="宋体" w:eastAsia="宋体" w:cs="宋体"/>
          <w:sz w:val="44"/>
          <w:lang w:val="en-US" w:eastAsia="zh-CN"/>
        </w:rPr>
      </w:pPr>
    </w:p>
    <w:p>
      <w:pPr>
        <w:jc w:val="center"/>
        <w:rPr>
          <w:rFonts w:hint="eastAsia" w:ascii="楷体_GB2312" w:hAnsi="楷体_GB2312" w:eastAsia="楷体_GB2312" w:cs="楷体_GB2312"/>
          <w:sz w:val="44"/>
          <w:szCs w:val="44"/>
          <w:lang w:val="en-US" w:eastAsia="zh-CN"/>
        </w:rPr>
      </w:pPr>
    </w:p>
    <w:p>
      <w:pPr>
        <w:jc w:val="center"/>
        <w:rPr>
          <w:rFonts w:hint="eastAsia" w:ascii="楷体_GB2312" w:hAnsi="楷体_GB2312" w:eastAsia="楷体_GB2312" w:cs="楷体_GB2312"/>
          <w:sz w:val="44"/>
          <w:szCs w:val="44"/>
          <w:lang w:val="en-US" w:eastAsia="zh-CN"/>
        </w:rPr>
      </w:pPr>
    </w:p>
    <w:p>
      <w:pPr>
        <w:jc w:val="center"/>
        <w:rPr>
          <w:rFonts w:hint="eastAsia" w:ascii="楷体_GB2312" w:hAnsi="楷体_GB2312" w:eastAsia="楷体_GB2312" w:cs="楷体_GB2312"/>
          <w:sz w:val="44"/>
          <w:szCs w:val="44"/>
          <w:lang w:val="en-US" w:eastAsia="zh-CN"/>
        </w:rPr>
      </w:pPr>
    </w:p>
    <w:p>
      <w:pPr>
        <w:jc w:val="center"/>
        <w:rPr>
          <w:rFonts w:ascii="宋体" w:hAnsi="宋体" w:eastAsia="宋体" w:cs="宋体"/>
          <w:sz w:val="44"/>
        </w:rPr>
      </w:pPr>
      <w:r>
        <w:rPr>
          <w:rFonts w:hint="eastAsia" w:ascii="楷体_GB2312" w:hAnsi="楷体_GB2312" w:eastAsia="楷体_GB2312" w:cs="楷体_GB2312"/>
          <w:sz w:val="44"/>
          <w:szCs w:val="44"/>
          <w:lang w:val="en-US" w:eastAsia="zh-CN"/>
        </w:rPr>
        <w:t>2020年9月25日</w:t>
      </w:r>
    </w:p>
    <w:p>
      <w:pPr>
        <w:jc w:val="center"/>
        <w:rPr>
          <w:rFonts w:ascii="宋体" w:hAnsi="宋体" w:eastAsia="宋体" w:cs="宋体"/>
          <w:sz w:val="44"/>
        </w:rPr>
      </w:pPr>
      <w:bookmarkStart w:id="0" w:name="_GoBack"/>
      <w:bookmarkEnd w:id="0"/>
    </w:p>
    <w:p>
      <w:pPr>
        <w:jc w:val="center"/>
        <w:rPr>
          <w:rFonts w:ascii="方正小标宋_GBK" w:hAnsi="方正小标宋_GBK" w:eastAsia="方正小标宋_GBK" w:cs="方正小标宋_GBK"/>
          <w:sz w:val="44"/>
        </w:rPr>
      </w:pPr>
      <w:r>
        <w:rPr>
          <w:rFonts w:ascii="宋体" w:hAnsi="宋体" w:eastAsia="宋体" w:cs="宋体"/>
          <w:sz w:val="44"/>
        </w:rPr>
        <w:t>目</w:t>
      </w:r>
      <w:r>
        <w:rPr>
          <w:rFonts w:ascii="方正小标宋_GBK" w:hAnsi="方正小标宋_GBK" w:eastAsia="方正小标宋_GBK" w:cs="方正小标宋_GBK"/>
          <w:sz w:val="44"/>
        </w:rPr>
        <w:t xml:space="preserve"> </w:t>
      </w:r>
      <w:r>
        <w:rPr>
          <w:rFonts w:ascii="宋体" w:hAnsi="宋体" w:eastAsia="宋体" w:cs="宋体"/>
          <w:sz w:val="44"/>
        </w:rPr>
        <w:t>录</w:t>
      </w:r>
    </w:p>
    <w:p>
      <w:pPr>
        <w:ind w:firstLine="3200"/>
        <w:rPr>
          <w:rFonts w:ascii="仿宋" w:hAnsi="仿宋" w:eastAsia="仿宋" w:cs="仿宋"/>
          <w:sz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sz w:val="32"/>
        </w:rPr>
      </w:pPr>
      <w:r>
        <w:rPr>
          <w:rFonts w:ascii="黑体" w:hAnsi="黑体" w:eastAsia="黑体" w:cs="黑体"/>
          <w:sz w:val="32"/>
        </w:rPr>
        <w:t xml:space="preserve">第一部分 </w:t>
      </w:r>
      <w:r>
        <w:rPr>
          <w:rFonts w:hint="eastAsia" w:ascii="黑体" w:hAnsi="黑体" w:eastAsia="黑体" w:cs="黑体"/>
          <w:sz w:val="32"/>
          <w:lang w:eastAsia="zh-CN"/>
        </w:rPr>
        <w:t>益阳市应急管理局（机关）</w:t>
      </w:r>
      <w:r>
        <w:rPr>
          <w:rFonts w:ascii="黑体" w:hAnsi="黑体" w:eastAsia="黑体" w:cs="黑体"/>
          <w:sz w:val="32"/>
        </w:rPr>
        <w:t xml:space="preserve">概况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sz w:val="32"/>
        </w:rPr>
      </w:pPr>
      <w:r>
        <w:rPr>
          <w:rFonts w:ascii="楷体" w:hAnsi="楷体" w:eastAsia="楷体" w:cs="楷体"/>
          <w:sz w:val="32"/>
        </w:rPr>
        <w:t>一、</w:t>
      </w:r>
      <w:r>
        <w:rPr>
          <w:rFonts w:hint="eastAsia" w:ascii="楷体" w:hAnsi="楷体" w:eastAsia="楷体" w:cs="楷体"/>
          <w:sz w:val="32"/>
        </w:rPr>
        <w:t>部门职责</w:t>
      </w:r>
      <w:r>
        <w:rPr>
          <w:rFonts w:ascii="楷体" w:hAnsi="楷体" w:eastAsia="楷体" w:cs="楷体"/>
          <w:sz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sz w:val="32"/>
        </w:rPr>
      </w:pPr>
      <w:r>
        <w:rPr>
          <w:rFonts w:ascii="楷体" w:hAnsi="楷体" w:eastAsia="楷体" w:cs="楷体"/>
          <w:sz w:val="32"/>
        </w:rPr>
        <w:t>二、机构设置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sz w:val="32"/>
        </w:rPr>
      </w:pPr>
      <w:r>
        <w:rPr>
          <w:rFonts w:ascii="楷体" w:hAnsi="楷体" w:eastAsia="楷体" w:cs="楷体"/>
          <w:sz w:val="32"/>
        </w:rPr>
        <w:t>三、部门决算单位构成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sz w:val="32"/>
        </w:rPr>
      </w:pPr>
      <w:r>
        <w:rPr>
          <w:rFonts w:ascii="黑体" w:hAnsi="黑体" w:eastAsia="黑体" w:cs="黑体"/>
          <w:sz w:val="32"/>
        </w:rPr>
        <w:t xml:space="preserve">第二部分 </w:t>
      </w:r>
      <w:r>
        <w:rPr>
          <w:rFonts w:hint="eastAsia" w:ascii="黑体" w:hAnsi="黑体" w:eastAsia="黑体" w:cs="黑体"/>
          <w:sz w:val="32"/>
          <w:lang w:eastAsia="zh-CN"/>
        </w:rPr>
        <w:t>益阳市应急管理局（机关）</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年度部门决算表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sz w:val="32"/>
        </w:rPr>
      </w:pPr>
      <w:r>
        <w:rPr>
          <w:rFonts w:ascii="楷体" w:hAnsi="楷体" w:eastAsia="楷体" w:cs="楷体"/>
          <w:sz w:val="32"/>
        </w:rPr>
        <w:t xml:space="preserve">一、收入支出决算总表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sz w:val="32"/>
        </w:rPr>
      </w:pPr>
      <w:r>
        <w:rPr>
          <w:rFonts w:ascii="楷体" w:hAnsi="楷体" w:eastAsia="楷体" w:cs="楷体"/>
          <w:sz w:val="32"/>
        </w:rPr>
        <w:t xml:space="preserve">二、收入决算表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sz w:val="32"/>
        </w:rPr>
      </w:pPr>
      <w:r>
        <w:rPr>
          <w:rFonts w:ascii="楷体" w:hAnsi="楷体" w:eastAsia="楷体" w:cs="楷体"/>
          <w:sz w:val="32"/>
        </w:rPr>
        <w:t xml:space="preserve">三、支出决算表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sz w:val="32"/>
        </w:rPr>
      </w:pPr>
      <w:r>
        <w:rPr>
          <w:rFonts w:ascii="楷体" w:hAnsi="楷体" w:eastAsia="楷体" w:cs="楷体"/>
          <w:sz w:val="32"/>
        </w:rPr>
        <w:t xml:space="preserve">四、财政拨款收入支出决算总表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sz w:val="32"/>
        </w:rPr>
      </w:pPr>
      <w:r>
        <w:rPr>
          <w:rFonts w:ascii="楷体" w:hAnsi="楷体" w:eastAsia="楷体" w:cs="楷体"/>
          <w:sz w:val="32"/>
        </w:rPr>
        <w:t xml:space="preserve">五、一般公共预算财政拨款支出决算表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sz w:val="32"/>
        </w:rPr>
      </w:pPr>
      <w:r>
        <w:rPr>
          <w:rFonts w:ascii="楷体" w:hAnsi="楷体" w:eastAsia="楷体" w:cs="楷体"/>
          <w:sz w:val="32"/>
        </w:rPr>
        <w:t xml:space="preserve">六、一般公共预算财政拨款基本支出决算表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sz w:val="32"/>
        </w:rPr>
      </w:pPr>
      <w:r>
        <w:rPr>
          <w:rFonts w:ascii="楷体" w:hAnsi="楷体" w:eastAsia="楷体" w:cs="楷体"/>
          <w:sz w:val="32"/>
        </w:rPr>
        <w:t xml:space="preserve">七、一般公共预算财政拨款“三公”经费支出决算表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sz w:val="32"/>
        </w:rPr>
      </w:pPr>
      <w:r>
        <w:rPr>
          <w:rFonts w:ascii="楷体" w:hAnsi="楷体" w:eastAsia="楷体" w:cs="楷体"/>
          <w:sz w:val="32"/>
        </w:rPr>
        <w:t xml:space="preserve">八、政府性基金预算财政拨款收入支出决算表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sz w:val="32"/>
        </w:rPr>
      </w:pPr>
      <w:r>
        <w:rPr>
          <w:rFonts w:ascii="黑体" w:hAnsi="黑体" w:eastAsia="黑体" w:cs="黑体"/>
          <w:sz w:val="32"/>
        </w:rPr>
        <w:t xml:space="preserve">第三部分 </w:t>
      </w:r>
      <w:r>
        <w:rPr>
          <w:rFonts w:hint="eastAsia" w:ascii="黑体" w:hAnsi="黑体" w:eastAsia="黑体" w:cs="黑体"/>
          <w:sz w:val="32"/>
          <w:lang w:eastAsia="zh-CN"/>
        </w:rPr>
        <w:t>益阳市应急管理局（机关）</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年度部门决算情况说明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sz w:val="32"/>
        </w:rPr>
      </w:pPr>
      <w:r>
        <w:rPr>
          <w:rFonts w:hint="eastAsia" w:ascii="楷体" w:hAnsi="楷体" w:eastAsia="楷体" w:cs="楷体"/>
          <w:sz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sz w:val="32"/>
        </w:rPr>
      </w:pPr>
      <w:r>
        <w:rPr>
          <w:rFonts w:hint="eastAsia" w:ascii="楷体" w:hAnsi="楷体" w:eastAsia="楷体" w:cs="楷体"/>
          <w:sz w:val="32"/>
        </w:rPr>
        <w:t>二、收入决算情况说明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sz w:val="32"/>
        </w:rPr>
      </w:pPr>
      <w:r>
        <w:rPr>
          <w:rFonts w:hint="eastAsia" w:ascii="楷体" w:hAnsi="楷体" w:eastAsia="楷体" w:cs="楷体"/>
          <w:sz w:val="32"/>
        </w:rPr>
        <w:t>三、支出决算情况说明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sz w:val="32"/>
        </w:rPr>
      </w:pPr>
      <w:r>
        <w:rPr>
          <w:rFonts w:hint="eastAsia" w:ascii="楷体" w:hAnsi="楷体" w:eastAsia="楷体" w:cs="楷体"/>
          <w:sz w:val="32"/>
        </w:rPr>
        <w:t>四、财政拨款收入支出决算总体情况说明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sz w:val="32"/>
        </w:rPr>
      </w:pPr>
      <w:r>
        <w:rPr>
          <w:rFonts w:hint="eastAsia" w:ascii="楷体" w:hAnsi="楷体" w:eastAsia="楷体" w:cs="楷体"/>
          <w:sz w:val="32"/>
        </w:rPr>
        <w:t>五、一般公共预算财政拨款支出决算情况说明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sz w:val="32"/>
        </w:rPr>
      </w:pPr>
      <w:r>
        <w:rPr>
          <w:rFonts w:hint="eastAsia" w:ascii="楷体" w:hAnsi="楷体" w:eastAsia="楷体" w:cs="楷体"/>
          <w:sz w:val="32"/>
        </w:rPr>
        <w:t xml:space="preserve">六、一般公共预算财政拨款基本支出决算情况说明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、政府性基金预算财政拨款支出决算情况说明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sz w:val="32"/>
        </w:rPr>
      </w:pPr>
      <w:r>
        <w:rPr>
          <w:rFonts w:hint="eastAsia" w:ascii="楷体" w:hAnsi="楷体" w:eastAsia="楷体" w:cs="楷体"/>
          <w:sz w:val="32"/>
        </w:rPr>
        <w:t>八、一般公共预算财政拨款“三公”经费支出决算情况说明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sz w:val="32"/>
        </w:rPr>
      </w:pPr>
      <w:r>
        <w:rPr>
          <w:rFonts w:hint="eastAsia" w:ascii="楷体" w:hAnsi="楷体" w:eastAsia="楷体" w:cs="楷体"/>
          <w:sz w:val="32"/>
        </w:rPr>
        <w:t>九、预算绩效情况说明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hAnsi="黑体" w:eastAsia="黑体" w:cs="黑体"/>
          <w:sz w:val="32"/>
        </w:rPr>
      </w:pPr>
      <w:r>
        <w:rPr>
          <w:rFonts w:hint="eastAsia" w:ascii="楷体" w:hAnsi="楷体" w:eastAsia="楷体" w:cs="楷体"/>
          <w:sz w:val="32"/>
        </w:rPr>
        <w:t xml:space="preserve">十、其他重要事项情况说明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sz w:val="32"/>
        </w:rPr>
      </w:pPr>
      <w:r>
        <w:rPr>
          <w:rFonts w:ascii="黑体" w:hAnsi="黑体" w:eastAsia="黑体" w:cs="黑体"/>
          <w:sz w:val="32"/>
        </w:rPr>
        <w:t>第四部分 名词解释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lang w:val="en-US" w:eastAsia="zh-CN"/>
        </w:rPr>
      </w:pPr>
      <w:r>
        <w:rPr>
          <w:rFonts w:hint="eastAsia" w:ascii="黑体" w:hAnsi="黑体" w:eastAsia="黑体" w:cs="黑体"/>
          <w:sz w:val="32"/>
          <w:lang w:eastAsia="zh-CN"/>
        </w:rPr>
        <w:t>第五部分</w:t>
      </w:r>
      <w:r>
        <w:rPr>
          <w:rFonts w:hint="eastAsia" w:ascii="黑体" w:hAnsi="黑体" w:eastAsia="黑体" w:cs="黑体"/>
          <w:sz w:val="32"/>
          <w:lang w:val="en-US" w:eastAsia="zh-CN"/>
        </w:rPr>
        <w:t xml:space="preserve"> 附件</w:t>
      </w:r>
    </w:p>
    <w:p>
      <w:pPr>
        <w:rPr>
          <w:rFonts w:ascii="黑体" w:hAnsi="黑体" w:eastAsia="黑体" w:cs="黑体"/>
          <w:sz w:val="32"/>
        </w:rPr>
      </w:pPr>
    </w:p>
    <w:p>
      <w:pPr>
        <w:rPr>
          <w:rFonts w:ascii="黑体" w:hAnsi="黑体" w:eastAsia="黑体" w:cs="黑体"/>
          <w:sz w:val="32"/>
        </w:rPr>
      </w:pPr>
    </w:p>
    <w:p>
      <w:pPr>
        <w:rPr>
          <w:rFonts w:ascii="黑体" w:hAnsi="黑体" w:eastAsia="黑体" w:cs="黑体"/>
          <w:sz w:val="32"/>
        </w:rPr>
      </w:pPr>
    </w:p>
    <w:p>
      <w:pPr>
        <w:rPr>
          <w:rFonts w:ascii="黑体" w:hAnsi="黑体" w:eastAsia="黑体" w:cs="黑体"/>
          <w:sz w:val="32"/>
        </w:rPr>
      </w:pPr>
    </w:p>
    <w:p>
      <w:pPr>
        <w:rPr>
          <w:rFonts w:ascii="黑体" w:hAnsi="黑体" w:eastAsia="黑体" w:cs="黑体"/>
          <w:sz w:val="32"/>
        </w:rPr>
      </w:pPr>
    </w:p>
    <w:p>
      <w:pPr>
        <w:rPr>
          <w:rFonts w:ascii="黑体" w:hAnsi="黑体" w:eastAsia="黑体" w:cs="黑体"/>
          <w:sz w:val="32"/>
        </w:rPr>
      </w:pPr>
    </w:p>
    <w:p>
      <w:pPr>
        <w:rPr>
          <w:rFonts w:ascii="黑体" w:hAnsi="黑体" w:eastAsia="黑体" w:cs="黑体"/>
          <w:sz w:val="32"/>
        </w:rPr>
      </w:pPr>
    </w:p>
    <w:p>
      <w:pPr>
        <w:rPr>
          <w:rFonts w:ascii="黑体" w:hAnsi="黑体" w:eastAsia="黑体" w:cs="黑体"/>
          <w:sz w:val="32"/>
        </w:rPr>
      </w:pPr>
    </w:p>
    <w:p>
      <w:pPr>
        <w:rPr>
          <w:rFonts w:ascii="黑体" w:hAnsi="黑体" w:eastAsia="黑体" w:cs="黑体"/>
          <w:sz w:val="32"/>
        </w:rPr>
      </w:pPr>
    </w:p>
    <w:p>
      <w:pPr>
        <w:rPr>
          <w:rFonts w:ascii="黑体" w:hAnsi="黑体" w:eastAsia="黑体" w:cs="黑体"/>
          <w:sz w:val="32"/>
        </w:rPr>
      </w:pPr>
    </w:p>
    <w:p>
      <w:pPr>
        <w:rPr>
          <w:rFonts w:ascii="黑体" w:hAnsi="黑体" w:eastAsia="黑体" w:cs="黑体"/>
          <w:sz w:val="32"/>
        </w:rPr>
      </w:pPr>
    </w:p>
    <w:p>
      <w:pPr>
        <w:jc w:val="both"/>
        <w:rPr>
          <w:rFonts w:ascii="宋体" w:hAnsi="宋体" w:eastAsia="宋体" w:cs="宋体"/>
          <w:sz w:val="44"/>
        </w:rPr>
      </w:pPr>
    </w:p>
    <w:p>
      <w:pPr>
        <w:jc w:val="both"/>
        <w:rPr>
          <w:rFonts w:ascii="宋体" w:hAnsi="宋体" w:eastAsia="宋体" w:cs="宋体"/>
          <w:sz w:val="44"/>
        </w:rPr>
      </w:pPr>
    </w:p>
    <w:p>
      <w:pPr>
        <w:jc w:val="both"/>
        <w:rPr>
          <w:rFonts w:ascii="宋体" w:hAnsi="宋体" w:eastAsia="宋体" w:cs="宋体"/>
          <w:sz w:val="44"/>
        </w:rPr>
      </w:pP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 xml:space="preserve">第一部分 </w:t>
      </w:r>
      <w:r>
        <w:rPr>
          <w:rFonts w:hint="eastAsia" w:asciiTheme="majorEastAsia" w:hAnsiTheme="majorEastAsia" w:eastAsiaTheme="majorEastAsia" w:cstheme="majorEastAsia"/>
          <w:sz w:val="44"/>
          <w:szCs w:val="44"/>
          <w:lang w:eastAsia="zh-CN"/>
        </w:rPr>
        <w:t>益阳市应急管理局（机关）</w:t>
      </w:r>
      <w:r>
        <w:rPr>
          <w:rFonts w:hint="eastAsia" w:asciiTheme="majorEastAsia" w:hAnsiTheme="majorEastAsia" w:eastAsiaTheme="majorEastAsia" w:cstheme="majorEastAsia"/>
          <w:sz w:val="44"/>
          <w:szCs w:val="44"/>
        </w:rPr>
        <w:t>概况</w:t>
      </w:r>
    </w:p>
    <w:p>
      <w:pPr>
        <w:jc w:val="center"/>
        <w:rPr>
          <w:rFonts w:hint="eastAsia" w:asciiTheme="majorEastAsia" w:hAnsiTheme="majorEastAsia" w:eastAsiaTheme="majorEastAsia" w:cstheme="majorEastAsia"/>
          <w:sz w:val="44"/>
          <w:szCs w:val="44"/>
        </w:rPr>
      </w:pP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ascii="黑体" w:hAnsi="黑体" w:eastAsia="黑体" w:cs="黑体"/>
          <w:sz w:val="32"/>
        </w:rPr>
      </w:pPr>
      <w:r>
        <w:rPr>
          <w:rFonts w:ascii="黑体" w:hAnsi="黑体" w:eastAsia="黑体" w:cs="黑体"/>
          <w:sz w:val="32"/>
        </w:rPr>
        <w:t>一、</w:t>
      </w:r>
      <w:r>
        <w:rPr>
          <w:rFonts w:hint="eastAsia" w:ascii="黑体" w:hAnsi="黑体" w:eastAsia="黑体" w:cs="黑体"/>
          <w:sz w:val="32"/>
        </w:rPr>
        <w:t>部门职责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lang w:val="en-US" w:eastAsia="zh-CN"/>
        </w:rPr>
        <w:t>1、</w:t>
      </w:r>
      <w:r>
        <w:rPr>
          <w:rFonts w:hint="eastAsia" w:ascii="仿宋_GB2312" w:hAnsi="仿宋" w:eastAsia="仿宋_GB2312"/>
          <w:b w:val="0"/>
          <w:bCs w:val="0"/>
          <w:sz w:val="32"/>
          <w:szCs w:val="32"/>
        </w:rPr>
        <w:t>负责应急管理工作，指导全市应对安全生产类、自然灾害类等突发事件和综合防灾减灾救灾工作。负责安全生产综合监督管理和工矿商贸行业（含煤矿）安全生产监督管理工作。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lang w:val="en-US" w:eastAsia="zh-CN"/>
        </w:rPr>
        <w:t>2、</w:t>
      </w:r>
      <w:r>
        <w:rPr>
          <w:rFonts w:hint="eastAsia" w:ascii="仿宋_GB2312" w:hAnsi="仿宋" w:eastAsia="仿宋_GB2312"/>
          <w:b w:val="0"/>
          <w:bCs w:val="0"/>
          <w:sz w:val="32"/>
          <w:szCs w:val="32"/>
        </w:rPr>
        <w:t>贯彻实施相关法律法规、规章、规程和标准，组织编制全市应急体系建设、安全生产和综合防灾减灾规划，组织拟订相关政策、规程和标准并监督实施。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lang w:val="en-US" w:eastAsia="zh-CN"/>
        </w:rPr>
        <w:t>3、</w:t>
      </w:r>
      <w:r>
        <w:rPr>
          <w:rFonts w:hint="eastAsia" w:ascii="仿宋_GB2312" w:hAnsi="仿宋" w:eastAsia="仿宋_GB2312"/>
          <w:b w:val="0"/>
          <w:bCs w:val="0"/>
          <w:sz w:val="32"/>
          <w:szCs w:val="32"/>
        </w:rPr>
        <w:t>指导应急预案体系建设，建立完善事故灾难和自然灾害分级应对制度，组织编制市总体应急预案和安全生产类、自然灾害类专项预案，综合协调应急预案衔接工作，组织开展预案演练，推动应急避难设施建设。</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lang w:val="en-US" w:eastAsia="zh-CN"/>
        </w:rPr>
        <w:t>4、</w:t>
      </w:r>
      <w:r>
        <w:rPr>
          <w:rFonts w:hint="eastAsia" w:ascii="仿宋_GB2312" w:hAnsi="仿宋" w:eastAsia="仿宋_GB2312"/>
          <w:b w:val="0"/>
          <w:bCs w:val="0"/>
          <w:sz w:val="32"/>
          <w:szCs w:val="32"/>
        </w:rPr>
        <w:t>牵头推进全市统一的应急管理信息系统建设，负责信息传输渠道的规划和布局，建立监测预警和灾情报告制度，健全自然灾害信息资源获取和共享机制，依法统一发布灾情。</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lang w:val="en-US" w:eastAsia="zh-CN"/>
        </w:rPr>
        <w:t>5、</w:t>
      </w:r>
      <w:r>
        <w:rPr>
          <w:rFonts w:hint="eastAsia" w:ascii="仿宋_GB2312" w:hAnsi="仿宋" w:eastAsia="仿宋_GB2312"/>
          <w:b w:val="0"/>
          <w:bCs w:val="0"/>
          <w:sz w:val="32"/>
          <w:szCs w:val="32"/>
        </w:rPr>
        <w:t>组织指导协调安全生产类、自然灾害类等突发事件应急救援，承担市应对较大灾害指挥部工作，综合研判突发事件发展态势并提出应对建议，协助市委、市政府指定的负责同志组织较大及以上灾害应急处置工作。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lang w:val="en-US" w:eastAsia="zh-CN"/>
        </w:rPr>
        <w:t>6、</w:t>
      </w:r>
      <w:r>
        <w:rPr>
          <w:rFonts w:hint="eastAsia" w:ascii="仿宋_GB2312" w:hAnsi="仿宋" w:eastAsia="仿宋_GB2312"/>
          <w:b w:val="0"/>
          <w:bCs w:val="0"/>
          <w:sz w:val="32"/>
          <w:szCs w:val="32"/>
        </w:rPr>
        <w:t>统一协调指挥各类应急专业队伍，建立应急协调联动机制，推进指挥平台对接，负责做好解放军和武警部队参与应急救援相关衔接工作。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lang w:val="en-US" w:eastAsia="zh-CN"/>
        </w:rPr>
        <w:t>7、</w:t>
      </w:r>
      <w:r>
        <w:rPr>
          <w:rFonts w:hint="eastAsia" w:ascii="仿宋_GB2312" w:hAnsi="仿宋" w:eastAsia="仿宋_GB2312"/>
          <w:b w:val="0"/>
          <w:bCs w:val="0"/>
          <w:sz w:val="32"/>
          <w:szCs w:val="32"/>
        </w:rPr>
        <w:t>统筹全市应急救援力量建设，负责消防、森林火灾扑救、抗洪抢险、地震和地质灾害救援、生产安全事故救援等专业应急救援力量建设，依权限做好驻益国家综合性应急救援队伍建设的相关工作，指导地方及社会应急救援力量建设。</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lang w:val="en-US" w:eastAsia="zh-CN"/>
        </w:rPr>
        <w:t>8、</w:t>
      </w:r>
      <w:r>
        <w:rPr>
          <w:rFonts w:hint="eastAsia" w:ascii="仿宋_GB2312" w:hAnsi="仿宋" w:eastAsia="仿宋_GB2312"/>
          <w:b w:val="0"/>
          <w:bCs w:val="0"/>
          <w:sz w:val="32"/>
          <w:szCs w:val="32"/>
        </w:rPr>
        <w:t>负责全市消防管理有关工作，指导地方消防监督、 火灾预防、火灾扑救等工作。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lang w:val="en-US" w:eastAsia="zh-CN"/>
        </w:rPr>
        <w:t>9、</w:t>
      </w:r>
      <w:r>
        <w:rPr>
          <w:rFonts w:hint="eastAsia" w:ascii="仿宋_GB2312" w:hAnsi="仿宋" w:eastAsia="仿宋_GB2312"/>
          <w:b w:val="0"/>
          <w:bCs w:val="0"/>
          <w:sz w:val="32"/>
          <w:szCs w:val="32"/>
        </w:rPr>
        <w:t>指导协调全市森林火灾、水旱灾害、地震和地质灾害等防治工作，负责自然灾害综合监测预警工作，指导开展自然灾害综合风险评估工作。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lang w:val="en-US" w:eastAsia="zh-CN"/>
        </w:rPr>
        <w:t>10、</w:t>
      </w:r>
      <w:r>
        <w:rPr>
          <w:rFonts w:hint="eastAsia" w:ascii="仿宋_GB2312" w:hAnsi="仿宋" w:eastAsia="仿宋_GB2312"/>
          <w:b w:val="0"/>
          <w:bCs w:val="0"/>
          <w:sz w:val="32"/>
          <w:szCs w:val="32"/>
        </w:rPr>
        <w:t>组织协调灾害救助工作，组织指导灾情核查、损失评估、救灾捐赠工作，按权限管理、分配中央、省下达和市级救灾款物并监督使用。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lang w:val="en-US" w:eastAsia="zh-CN"/>
        </w:rPr>
        <w:t>11、</w:t>
      </w:r>
      <w:r>
        <w:rPr>
          <w:rFonts w:hint="eastAsia" w:ascii="仿宋_GB2312" w:hAnsi="仿宋" w:eastAsia="仿宋_GB2312"/>
          <w:b w:val="0"/>
          <w:bCs w:val="0"/>
          <w:sz w:val="32"/>
          <w:szCs w:val="32"/>
        </w:rPr>
        <w:t>依法行使安全生产综合监督管理职权，指导协调、监督检查市政府有关部门和各区县（市）政府（管委会）安全生产工作，组织开展安全生产巡查、考核工作。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lang w:val="en-US" w:eastAsia="zh-CN"/>
        </w:rPr>
        <w:t>12、</w:t>
      </w:r>
      <w:r>
        <w:rPr>
          <w:rFonts w:hint="eastAsia" w:ascii="仿宋_GB2312" w:hAnsi="仿宋" w:eastAsia="仿宋_GB2312"/>
          <w:b w:val="0"/>
          <w:bCs w:val="0"/>
          <w:sz w:val="32"/>
          <w:szCs w:val="32"/>
        </w:rPr>
        <w:t>按照分级、属地原则，依法监督检查工矿商贸生产经营单位贯彻执行安全生产法律法规情况及其安全生产条件和有关设备（特种设备除外）、材料、劳动防护用品的安全生产管理工作。负责监督管理工矿商贸行业市属企业安全生产工作。依法组织并指导监督实施安全生产准入制度。负责危险化学品安全监督管理综合工作和烟花爆竹安全生产监督管理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lang w:val="en-US" w:eastAsia="zh-CN"/>
        </w:rPr>
        <w:t>13、</w:t>
      </w:r>
      <w:r>
        <w:rPr>
          <w:rFonts w:hint="eastAsia" w:ascii="仿宋_GB2312" w:hAnsi="仿宋" w:eastAsia="仿宋_GB2312"/>
          <w:b w:val="0"/>
          <w:bCs w:val="0"/>
          <w:sz w:val="32"/>
          <w:szCs w:val="32"/>
        </w:rPr>
        <w:t>依法组织指导生产安全事故调查处理，监督事故查处和责任追究落实情况。组织开展自然灾害类突发事件的调查评估工作。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lang w:val="en-US" w:eastAsia="zh-CN"/>
        </w:rPr>
        <w:t>14、</w:t>
      </w:r>
      <w:r>
        <w:rPr>
          <w:rFonts w:hint="eastAsia" w:ascii="仿宋_GB2312" w:hAnsi="仿宋" w:eastAsia="仿宋_GB2312"/>
          <w:b w:val="0"/>
          <w:bCs w:val="0"/>
          <w:sz w:val="32"/>
          <w:szCs w:val="32"/>
        </w:rPr>
        <w:t>开展应急管理对外交流与合作，组织参与安全生产类、自然灾害类等突发事件的对外救援工作。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lang w:val="en-US" w:eastAsia="zh-CN"/>
        </w:rPr>
        <w:t>15、</w:t>
      </w:r>
      <w:r>
        <w:rPr>
          <w:rFonts w:hint="eastAsia" w:ascii="仿宋_GB2312" w:hAnsi="仿宋" w:eastAsia="仿宋_GB2312"/>
          <w:b w:val="0"/>
          <w:bCs w:val="0"/>
          <w:sz w:val="32"/>
          <w:szCs w:val="32"/>
        </w:rPr>
        <w:t>制定全市应急物资储备和应急救援装备规划并组织实施，会同市发展和改革委员会等部门建立健全应急物资信息平台和调拨制度，在救灾时统一调度。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lang w:val="en-US" w:eastAsia="zh-CN"/>
        </w:rPr>
        <w:t>16、</w:t>
      </w:r>
      <w:r>
        <w:rPr>
          <w:rFonts w:hint="eastAsia" w:ascii="仿宋_GB2312" w:hAnsi="仿宋" w:eastAsia="仿宋_GB2312"/>
          <w:b w:val="0"/>
          <w:bCs w:val="0"/>
          <w:sz w:val="32"/>
          <w:szCs w:val="32"/>
        </w:rPr>
        <w:t>负责应急管理、安全生产宣传教育和培训工作， 组织指导应急管理、安全生产的科学技术研究、推广应用和信息化建设工作。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b w:val="0"/>
          <w:bCs w:val="0"/>
          <w:sz w:val="32"/>
          <w:szCs w:val="32"/>
          <w:lang w:eastAsia="zh-CN"/>
        </w:rPr>
      </w:pPr>
      <w:r>
        <w:rPr>
          <w:rFonts w:hint="eastAsia" w:ascii="仿宋_GB2312" w:hAnsi="仿宋" w:eastAsia="仿宋_GB2312"/>
          <w:b w:val="0"/>
          <w:bCs w:val="0"/>
          <w:sz w:val="32"/>
          <w:szCs w:val="32"/>
          <w:lang w:val="en-US" w:eastAsia="zh-CN"/>
        </w:rPr>
        <w:t>17、</w:t>
      </w:r>
      <w:r>
        <w:rPr>
          <w:rFonts w:hint="eastAsia" w:ascii="仿宋_GB2312" w:hAnsi="仿宋" w:eastAsia="仿宋_GB2312"/>
          <w:b w:val="0"/>
          <w:bCs w:val="0"/>
          <w:sz w:val="32"/>
          <w:szCs w:val="32"/>
        </w:rPr>
        <w:t>承担市防汛抗旱指挥部日常工作，协调市防汛抗旱指挥部成员单位的相关工作，组织执行国家防汛抗旱总指挥部、相关流域防汛抗旱指挥机构和省、市防汛抗旱指挥部的指示、命令</w:t>
      </w:r>
      <w:r>
        <w:rPr>
          <w:rFonts w:hint="eastAsia" w:ascii="仿宋_GB2312" w:hAnsi="仿宋" w:eastAsia="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仿宋_GB2312" w:cs="黑体"/>
          <w:sz w:val="32"/>
          <w:lang w:eastAsia="zh-CN"/>
        </w:rPr>
      </w:pPr>
      <w:r>
        <w:rPr>
          <w:rFonts w:hint="eastAsia" w:ascii="仿宋_GB2312" w:hAnsi="仿宋" w:eastAsia="仿宋_GB2312"/>
          <w:b w:val="0"/>
          <w:bCs w:val="0"/>
          <w:sz w:val="32"/>
          <w:szCs w:val="32"/>
          <w:lang w:val="en-US" w:eastAsia="zh-CN"/>
        </w:rPr>
        <w:t>19、</w:t>
      </w:r>
      <w:r>
        <w:rPr>
          <w:rFonts w:hint="eastAsia" w:ascii="仿宋_GB2312" w:hAnsi="仿宋" w:eastAsia="仿宋_GB2312"/>
          <w:b w:val="0"/>
          <w:bCs w:val="0"/>
          <w:sz w:val="32"/>
          <w:szCs w:val="32"/>
        </w:rPr>
        <w:t>完成市委、市政府交办的其他任务</w:t>
      </w:r>
      <w:r>
        <w:rPr>
          <w:rFonts w:hint="eastAsia" w:ascii="仿宋_GB2312" w:hAnsi="仿宋" w:eastAsia="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ascii="黑体" w:hAnsi="黑体" w:eastAsia="黑体" w:cs="黑体"/>
          <w:sz w:val="32"/>
        </w:rPr>
      </w:pPr>
      <w:r>
        <w:rPr>
          <w:rFonts w:hint="eastAsia" w:ascii="黑体" w:hAnsi="黑体" w:eastAsia="黑体" w:cs="黑体"/>
          <w:sz w:val="32"/>
          <w:lang w:eastAsia="zh-CN"/>
        </w:rPr>
        <w:t>二、机构设置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 w:eastAsia="仿宋_GB2312"/>
          <w:sz w:val="32"/>
          <w:szCs w:val="32"/>
          <w:lang w:eastAsia="zh-CN"/>
        </w:rPr>
        <w:t>益阳市应急管理局</w:t>
      </w:r>
      <w:r>
        <w:rPr>
          <w:rFonts w:hint="eastAsia" w:ascii="仿宋_GB2312" w:hAnsi="仿宋" w:eastAsia="仿宋_GB2312"/>
          <w:sz w:val="32"/>
          <w:szCs w:val="32"/>
        </w:rPr>
        <w:t>是</w:t>
      </w:r>
      <w:r>
        <w:rPr>
          <w:rFonts w:hint="eastAsia" w:ascii="仿宋_GB2312" w:hAnsi="仿宋" w:eastAsia="仿宋_GB2312"/>
          <w:sz w:val="32"/>
          <w:szCs w:val="32"/>
          <w:lang w:eastAsia="zh-CN"/>
        </w:rPr>
        <w:t>益阳</w:t>
      </w:r>
      <w:r>
        <w:rPr>
          <w:rFonts w:hint="eastAsia" w:ascii="仿宋_GB2312" w:hAnsi="仿宋" w:eastAsia="仿宋_GB2312"/>
          <w:sz w:val="32"/>
          <w:szCs w:val="32"/>
        </w:rPr>
        <w:t>市政府工作部门，为正处级</w:t>
      </w:r>
      <w:r>
        <w:rPr>
          <w:rFonts w:hint="eastAsia" w:ascii="仿宋_GB2312" w:hAnsi="仿宋" w:eastAsia="仿宋_GB2312"/>
          <w:sz w:val="32"/>
          <w:szCs w:val="32"/>
          <w:lang w:eastAsia="zh-CN"/>
        </w:rPr>
        <w:t>单位</w:t>
      </w:r>
      <w:r>
        <w:rPr>
          <w:rFonts w:hint="eastAsia" w:ascii="仿宋_GB2312" w:hAnsi="仿宋" w:eastAsia="仿宋_GB2312"/>
          <w:sz w:val="32"/>
          <w:szCs w:val="32"/>
        </w:rPr>
        <w:t>，加挂市防汛抗旱指挥部办公室牌子。</w:t>
      </w:r>
      <w:r>
        <w:rPr>
          <w:rFonts w:hint="eastAsia" w:ascii="仿宋_GB2312" w:hAnsi="仿宋" w:eastAsia="仿宋_GB2312"/>
          <w:sz w:val="32"/>
          <w:szCs w:val="32"/>
          <w:lang w:eastAsia="zh-CN"/>
        </w:rPr>
        <w:t>益阳市应急管理（机关）</w:t>
      </w:r>
      <w:r>
        <w:rPr>
          <w:rFonts w:hint="eastAsia" w:ascii="仿宋_GB2312" w:hAnsi="仿宋_GB2312" w:eastAsia="仿宋_GB2312" w:cs="仿宋_GB2312"/>
          <w:sz w:val="32"/>
        </w:rPr>
        <w:t>内设职能科室19个：办公室、应急指挥中心、人事科、新闻宣传和训练教育科、风险监测和综合减灾科、救援协调和预案管理科、火灾防治管理科、防汛抗旱科、地震和地质灾害救援科、矿山和工贸行业安全监督管理科、危险化学品和烟花爆竹安全监督管理科、安全生产综合协调科、救灾和物资保障科、政策法规科、规划财务科、调查评估和统计科、科技和信息化科、行政审批改革科、机关党委。</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eastAsia="zh-CN"/>
        </w:rPr>
        <w:t>纳入益阳市应急管理局（机关）核算的二级机构有</w:t>
      </w:r>
      <w:r>
        <w:rPr>
          <w:rFonts w:hint="eastAsia" w:ascii="仿宋_GB2312" w:hAnsi="仿宋_GB2312" w:eastAsia="仿宋_GB2312" w:cs="仿宋_GB2312"/>
          <w:sz w:val="32"/>
        </w:rPr>
        <w:t>3个：益阳市安全生产应急救援指挥中心（副处级）、益阳市安全生产执法支队、益阳市安全生产培训中心。</w:t>
      </w:r>
    </w:p>
    <w:p>
      <w:pPr>
        <w:keepNext w:val="0"/>
        <w:keepLines w:val="0"/>
        <w:pageBreakBefore w:val="0"/>
        <w:widowControl w:val="0"/>
        <w:kinsoku/>
        <w:wordWrap/>
        <w:overflowPunct/>
        <w:topLinePunct w:val="0"/>
        <w:autoSpaceDE/>
        <w:autoSpaceDN/>
        <w:bidi w:val="0"/>
        <w:adjustRightInd/>
        <w:spacing w:line="560" w:lineRule="exact"/>
        <w:ind w:left="795" w:hanging="795"/>
        <w:jc w:val="left"/>
        <w:textAlignment w:val="auto"/>
        <w:rPr>
          <w:rFonts w:ascii="黑体" w:hAnsi="黑体" w:eastAsia="黑体" w:cs="黑体"/>
          <w:sz w:val="32"/>
        </w:rPr>
      </w:pPr>
      <w:r>
        <w:rPr>
          <w:rFonts w:ascii="黑体" w:hAnsi="黑体" w:eastAsia="黑体" w:cs="黑体"/>
          <w:sz w:val="32"/>
        </w:rPr>
        <w:t>三、部门决算单位构成</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32"/>
        </w:rPr>
        <w:t>从决算单位构成看，</w:t>
      </w:r>
      <w:r>
        <w:rPr>
          <w:rFonts w:hint="eastAsia" w:ascii="仿宋_GB2312" w:hAnsi="仿宋_GB2312" w:eastAsia="仿宋_GB2312" w:cs="仿宋_GB2312"/>
          <w:sz w:val="32"/>
          <w:lang w:eastAsia="zh-CN"/>
        </w:rPr>
        <w:t>益阳市应急管理局（机关）</w:t>
      </w:r>
      <w:r>
        <w:rPr>
          <w:rFonts w:hint="eastAsia" w:ascii="仿宋_GB2312" w:hAnsi="仿宋_GB2312" w:eastAsia="仿宋_GB2312" w:cs="仿宋_GB2312"/>
          <w:sz w:val="32"/>
        </w:rPr>
        <w:t>部门决算包括：</w:t>
      </w:r>
      <w:r>
        <w:rPr>
          <w:rFonts w:hint="eastAsia" w:ascii="仿宋_GB2312" w:hAnsi="仿宋_GB2312" w:eastAsia="仿宋_GB2312" w:cs="仿宋_GB2312"/>
          <w:sz w:val="32"/>
          <w:lang w:eastAsia="zh-CN"/>
        </w:rPr>
        <w:t>益阳市应急管理局（机关）</w:t>
      </w:r>
      <w:r>
        <w:rPr>
          <w:rFonts w:hint="eastAsia" w:ascii="仿宋_GB2312" w:hAnsi="仿宋_GB2312" w:eastAsia="仿宋_GB2312" w:cs="仿宋_GB2312"/>
          <w:sz w:val="32"/>
        </w:rPr>
        <w:t>决算。</w:t>
      </w:r>
    </w:p>
    <w:tbl>
      <w:tblPr>
        <w:tblStyle w:val="5"/>
        <w:tblpPr w:leftFromText="180" w:rightFromText="180" w:vertAnchor="text" w:horzAnchor="page" w:tblpX="1621" w:tblpY="436"/>
        <w:tblOverlap w:val="never"/>
        <w:tblW w:w="0" w:type="auto"/>
        <w:tblInd w:w="0" w:type="dxa"/>
        <w:tblLayout w:type="autofit"/>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sz w:val="32"/>
                <w:szCs w:val="32"/>
              </w:rPr>
            </w:pPr>
            <w:r>
              <w:rPr>
                <w:rFonts w:ascii="仿宋" w:hAnsi="仿宋" w:eastAsia="仿宋" w:cs="仿宋"/>
                <w:b/>
                <w:sz w:val="32"/>
                <w:szCs w:val="32"/>
              </w:rPr>
              <w:t>序号</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sz w:val="32"/>
                <w:szCs w:val="32"/>
              </w:rPr>
            </w:pPr>
            <w:r>
              <w:rPr>
                <w:rFonts w:ascii="仿宋" w:hAnsi="仿宋" w:eastAsia="仿宋" w:cs="仿宋"/>
                <w:b/>
                <w:sz w:val="32"/>
                <w:szCs w:val="32"/>
              </w:rPr>
              <w:t>单位名称</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益阳市应急管理局（机关）</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_GB2312" w:hAnsi="仿宋_GB2312" w:eastAsia="仿宋_GB2312" w:cs="仿宋_GB2312"/>
                <w:sz w:val="32"/>
                <w:szCs w:val="32"/>
              </w:rPr>
            </w:pP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_GB2312" w:hAnsi="仿宋_GB2312" w:eastAsia="仿宋_GB2312" w:cs="仿宋_GB2312"/>
                <w:sz w:val="32"/>
                <w:szCs w:val="32"/>
                <w:lang w:eastAsia="zh-CN"/>
              </w:rPr>
            </w:pPr>
          </w:p>
        </w:tc>
      </w:tr>
    </w:tbl>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15"/>
          <w:szCs w:val="15"/>
        </w:rPr>
      </w:pPr>
    </w:p>
    <w:p>
      <w:pPr>
        <w:jc w:val="center"/>
        <w:rPr>
          <w:rFonts w:hint="eastAsia" w:asciiTheme="majorEastAsia" w:hAnsiTheme="majorEastAsia" w:eastAsiaTheme="majorEastAsia" w:cstheme="majorEastAsia"/>
          <w:sz w:val="44"/>
        </w:rPr>
      </w:pPr>
    </w:p>
    <w:p>
      <w:pPr>
        <w:jc w:val="center"/>
        <w:rPr>
          <w:rFonts w:hint="eastAsia" w:asciiTheme="majorEastAsia" w:hAnsiTheme="majorEastAsia" w:eastAsiaTheme="majorEastAsia" w:cstheme="majorEastAsia"/>
          <w:sz w:val="44"/>
        </w:rPr>
      </w:pPr>
    </w:p>
    <w:p>
      <w:pPr>
        <w:jc w:val="both"/>
        <w:rPr>
          <w:rFonts w:hint="eastAsia" w:asciiTheme="majorEastAsia" w:hAnsiTheme="majorEastAsia" w:eastAsiaTheme="majorEastAsia" w:cstheme="majorEastAsia"/>
          <w:sz w:val="44"/>
        </w:rPr>
        <w:sectPr>
          <w:headerReference r:id="rId3" w:type="default"/>
          <w:pgSz w:w="11906" w:h="16838"/>
          <w:pgMar w:top="2098" w:right="1531" w:bottom="1984" w:left="1531" w:header="851" w:footer="992" w:gutter="0"/>
          <w:cols w:space="425" w:num="1"/>
          <w:docGrid w:type="lines" w:linePitch="312" w:charSpace="0"/>
        </w:sectPr>
      </w:pPr>
    </w:p>
    <w:p>
      <w:pPr>
        <w:jc w:val="center"/>
        <w:rPr>
          <w:rFonts w:hint="eastAsia" w:asciiTheme="majorEastAsia" w:hAnsiTheme="majorEastAsia" w:eastAsiaTheme="majorEastAsia" w:cstheme="majorEastAsia"/>
          <w:sz w:val="44"/>
        </w:rPr>
      </w:pPr>
      <w:r>
        <w:rPr>
          <w:rFonts w:hint="eastAsia" w:asciiTheme="majorEastAsia" w:hAnsiTheme="majorEastAsia" w:eastAsiaTheme="majorEastAsia" w:cstheme="majorEastAsia"/>
          <w:sz w:val="44"/>
        </w:rPr>
        <w:t xml:space="preserve">第二部分 </w:t>
      </w:r>
      <w:r>
        <w:rPr>
          <w:rFonts w:hint="eastAsia" w:asciiTheme="majorEastAsia" w:hAnsiTheme="majorEastAsia" w:eastAsiaTheme="majorEastAsia" w:cstheme="majorEastAsia"/>
          <w:sz w:val="44"/>
          <w:lang w:eastAsia="zh-CN"/>
        </w:rPr>
        <w:t>益阳市应急管理局（机关）</w:t>
      </w:r>
      <w:r>
        <w:rPr>
          <w:rFonts w:hint="eastAsia" w:asciiTheme="majorEastAsia" w:hAnsiTheme="majorEastAsia" w:eastAsiaTheme="majorEastAsia" w:cstheme="majorEastAsia"/>
          <w:sz w:val="44"/>
        </w:rPr>
        <w:t>2019 年度部门决算表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表1：收入支出决算总表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表2：收入决算表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表3：支出决算表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表4：财政拨款收入支出决算总表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表5：一般公共预算财政拨款支出决算表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表6：一般公共预算财政拨款基本支出决算表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表7：一般公共预算财政拨款“三公”经费支出决算表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cs="仿宋"/>
          <w:sz w:val="32"/>
        </w:rPr>
        <w:sectPr>
          <w:pgSz w:w="11906" w:h="16838"/>
          <w:pgMar w:top="2098" w:right="1531" w:bottom="1984" w:left="1531" w:header="851" w:footer="992" w:gutter="0"/>
          <w:cols w:space="425" w:num="1"/>
          <w:docGrid w:type="lines" w:linePitch="312" w:charSpace="0"/>
        </w:sectPr>
      </w:pPr>
      <w:r>
        <w:rPr>
          <w:rFonts w:hint="eastAsia" w:ascii="仿宋_GB2312" w:hAnsi="仿宋_GB2312" w:eastAsia="仿宋_GB2312" w:cs="仿宋_GB2312"/>
          <w:sz w:val="32"/>
        </w:rPr>
        <w:t>表8：政府性基金预算财政拨款收入支出决算表</w:t>
      </w:r>
    </w:p>
    <w:p>
      <w:pPr>
        <w:rPr>
          <w:rFonts w:ascii="仿宋" w:hAnsi="仿宋" w:eastAsia="仿宋" w:cs="仿宋"/>
          <w:sz w:val="32"/>
        </w:rPr>
      </w:pPr>
      <w:r>
        <w:drawing>
          <wp:inline distT="0" distB="0" distL="114300" distR="114300">
            <wp:extent cx="8098790" cy="5660390"/>
            <wp:effectExtent l="0" t="0" r="16510" b="165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8098790" cy="5660390"/>
                    </a:xfrm>
                    <a:prstGeom prst="rect">
                      <a:avLst/>
                    </a:prstGeom>
                    <a:noFill/>
                    <a:ln>
                      <a:noFill/>
                    </a:ln>
                  </pic:spPr>
                </pic:pic>
              </a:graphicData>
            </a:graphic>
          </wp:inline>
        </w:drawing>
      </w:r>
    </w:p>
    <w:p>
      <w:pPr>
        <w:rPr>
          <w:rFonts w:ascii="仿宋" w:hAnsi="仿宋" w:eastAsia="仿宋" w:cs="仿宋"/>
          <w:sz w:val="32"/>
        </w:rPr>
      </w:pPr>
      <w:r>
        <w:drawing>
          <wp:inline distT="0" distB="0" distL="114300" distR="114300">
            <wp:extent cx="8093710" cy="5520690"/>
            <wp:effectExtent l="0" t="0" r="2540" b="38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6"/>
                    <a:stretch>
                      <a:fillRect/>
                    </a:stretch>
                  </pic:blipFill>
                  <pic:spPr>
                    <a:xfrm>
                      <a:off x="0" y="0"/>
                      <a:ext cx="8093710" cy="5520690"/>
                    </a:xfrm>
                    <a:prstGeom prst="rect">
                      <a:avLst/>
                    </a:prstGeom>
                    <a:noFill/>
                    <a:ln>
                      <a:noFill/>
                    </a:ln>
                  </pic:spPr>
                </pic:pic>
              </a:graphicData>
            </a:graphic>
          </wp:inline>
        </w:drawing>
      </w:r>
    </w:p>
    <w:p>
      <w:pPr>
        <w:rPr>
          <w:rFonts w:ascii="仿宋" w:hAnsi="仿宋" w:eastAsia="仿宋" w:cs="仿宋"/>
          <w:sz w:val="32"/>
        </w:rPr>
      </w:pPr>
      <w:r>
        <w:drawing>
          <wp:inline distT="0" distB="0" distL="114300" distR="114300">
            <wp:extent cx="8093710" cy="3526790"/>
            <wp:effectExtent l="0" t="0" r="2540" b="1651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
                    <a:stretch>
                      <a:fillRect/>
                    </a:stretch>
                  </pic:blipFill>
                  <pic:spPr>
                    <a:xfrm>
                      <a:off x="0" y="0"/>
                      <a:ext cx="8093710" cy="3526790"/>
                    </a:xfrm>
                    <a:prstGeom prst="rect">
                      <a:avLst/>
                    </a:prstGeom>
                    <a:noFill/>
                    <a:ln>
                      <a:noFill/>
                    </a:ln>
                  </pic:spPr>
                </pic:pic>
              </a:graphicData>
            </a:graphic>
          </wp:inline>
        </w:drawing>
      </w:r>
    </w:p>
    <w:p>
      <w:pPr>
        <w:rPr>
          <w:rFonts w:ascii="仿宋" w:hAnsi="仿宋" w:eastAsia="仿宋" w:cs="仿宋"/>
          <w:sz w:val="32"/>
        </w:rPr>
      </w:pPr>
    </w:p>
    <w:p>
      <w:pPr>
        <w:ind w:firstLine="640"/>
        <w:rPr>
          <w:rFonts w:ascii="仿宋" w:hAnsi="仿宋" w:eastAsia="仿宋" w:cs="仿宋"/>
          <w:sz w:val="32"/>
        </w:rPr>
      </w:pPr>
    </w:p>
    <w:p>
      <w:pPr>
        <w:ind w:firstLine="640"/>
        <w:rPr>
          <w:rFonts w:ascii="仿宋" w:hAnsi="仿宋" w:eastAsia="仿宋" w:cs="仿宋"/>
          <w:sz w:val="32"/>
        </w:rPr>
      </w:pPr>
    </w:p>
    <w:p>
      <w:pPr>
        <w:ind w:firstLine="640"/>
        <w:rPr>
          <w:rFonts w:ascii="仿宋" w:hAnsi="仿宋" w:eastAsia="仿宋" w:cs="仿宋"/>
          <w:sz w:val="32"/>
        </w:rPr>
      </w:pPr>
    </w:p>
    <w:p>
      <w:pPr>
        <w:ind w:firstLine="640"/>
        <w:rPr>
          <w:rFonts w:ascii="仿宋" w:hAnsi="仿宋" w:eastAsia="仿宋" w:cs="仿宋"/>
          <w:sz w:val="32"/>
        </w:rPr>
      </w:pPr>
    </w:p>
    <w:p>
      <w:pPr>
        <w:rPr>
          <w:rFonts w:ascii="仿宋" w:hAnsi="仿宋" w:eastAsia="仿宋" w:cs="仿宋"/>
          <w:sz w:val="32"/>
        </w:rPr>
      </w:pPr>
      <w:r>
        <w:drawing>
          <wp:inline distT="0" distB="0" distL="114300" distR="114300">
            <wp:extent cx="8091805" cy="5285740"/>
            <wp:effectExtent l="0" t="0" r="4445" b="1016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8091805" cy="5285740"/>
                    </a:xfrm>
                    <a:prstGeom prst="rect">
                      <a:avLst/>
                    </a:prstGeom>
                    <a:noFill/>
                    <a:ln>
                      <a:noFill/>
                    </a:ln>
                  </pic:spPr>
                </pic:pic>
              </a:graphicData>
            </a:graphic>
          </wp:inline>
        </w:drawing>
      </w:r>
    </w:p>
    <w:p>
      <w:pPr>
        <w:rPr>
          <w:rFonts w:ascii="仿宋" w:hAnsi="仿宋" w:eastAsia="仿宋" w:cs="仿宋"/>
          <w:sz w:val="32"/>
        </w:rPr>
      </w:pPr>
      <w:r>
        <w:drawing>
          <wp:inline distT="0" distB="0" distL="114300" distR="114300">
            <wp:extent cx="8091805" cy="2953385"/>
            <wp:effectExtent l="0" t="0" r="4445" b="184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stretch>
                      <a:fillRect/>
                    </a:stretch>
                  </pic:blipFill>
                  <pic:spPr>
                    <a:xfrm>
                      <a:off x="0" y="0"/>
                      <a:ext cx="8091805" cy="2953385"/>
                    </a:xfrm>
                    <a:prstGeom prst="rect">
                      <a:avLst/>
                    </a:prstGeom>
                    <a:noFill/>
                    <a:ln>
                      <a:noFill/>
                    </a:ln>
                  </pic:spPr>
                </pic:pic>
              </a:graphicData>
            </a:graphic>
          </wp:inline>
        </w:drawing>
      </w:r>
    </w:p>
    <w:p>
      <w:pPr>
        <w:ind w:firstLine="640"/>
        <w:rPr>
          <w:rFonts w:ascii="仿宋" w:hAnsi="仿宋" w:eastAsia="仿宋" w:cs="仿宋"/>
          <w:sz w:val="32"/>
        </w:rPr>
      </w:pPr>
    </w:p>
    <w:p>
      <w:pPr>
        <w:ind w:firstLine="640"/>
        <w:rPr>
          <w:rFonts w:ascii="仿宋" w:hAnsi="仿宋" w:eastAsia="仿宋" w:cs="仿宋"/>
          <w:sz w:val="32"/>
        </w:rPr>
      </w:pPr>
    </w:p>
    <w:p>
      <w:pPr>
        <w:ind w:firstLine="640"/>
        <w:rPr>
          <w:rFonts w:ascii="仿宋" w:hAnsi="仿宋" w:eastAsia="仿宋" w:cs="仿宋"/>
          <w:sz w:val="32"/>
        </w:rPr>
      </w:pPr>
    </w:p>
    <w:p>
      <w:pPr>
        <w:ind w:firstLine="640"/>
        <w:rPr>
          <w:rFonts w:ascii="仿宋" w:hAnsi="仿宋" w:eastAsia="仿宋" w:cs="仿宋"/>
          <w:sz w:val="32"/>
        </w:rPr>
      </w:pPr>
    </w:p>
    <w:p>
      <w:pPr>
        <w:ind w:firstLine="640"/>
        <w:rPr>
          <w:rFonts w:ascii="仿宋" w:hAnsi="仿宋" w:eastAsia="仿宋" w:cs="仿宋"/>
          <w:sz w:val="32"/>
        </w:rPr>
      </w:pPr>
    </w:p>
    <w:p>
      <w:pPr>
        <w:ind w:firstLine="640"/>
        <w:rPr>
          <w:rFonts w:ascii="仿宋" w:hAnsi="仿宋" w:eastAsia="仿宋" w:cs="仿宋"/>
          <w:sz w:val="32"/>
        </w:rPr>
      </w:pPr>
    </w:p>
    <w:p>
      <w:pPr>
        <w:jc w:val="left"/>
      </w:pPr>
      <w:r>
        <w:drawing>
          <wp:inline distT="0" distB="0" distL="114300" distR="114300">
            <wp:extent cx="8096885" cy="4991735"/>
            <wp:effectExtent l="0" t="0" r="18415" b="1841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
                    <a:stretch>
                      <a:fillRect/>
                    </a:stretch>
                  </pic:blipFill>
                  <pic:spPr>
                    <a:xfrm>
                      <a:off x="0" y="0"/>
                      <a:ext cx="8096885" cy="4991735"/>
                    </a:xfrm>
                    <a:prstGeom prst="rect">
                      <a:avLst/>
                    </a:prstGeom>
                    <a:noFill/>
                    <a:ln>
                      <a:noFill/>
                    </a:ln>
                  </pic:spPr>
                </pic:pic>
              </a:graphicData>
            </a:graphic>
          </wp:inline>
        </w:drawing>
      </w:r>
    </w:p>
    <w:p>
      <w:pPr>
        <w:jc w:val="left"/>
      </w:pPr>
    </w:p>
    <w:p>
      <w:pPr>
        <w:jc w:val="both"/>
      </w:pPr>
      <w:r>
        <w:drawing>
          <wp:inline distT="0" distB="0" distL="114300" distR="114300">
            <wp:extent cx="8096885" cy="5228590"/>
            <wp:effectExtent l="0" t="0" r="18415" b="1016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1"/>
                    <a:stretch>
                      <a:fillRect/>
                    </a:stretch>
                  </pic:blipFill>
                  <pic:spPr>
                    <a:xfrm>
                      <a:off x="0" y="0"/>
                      <a:ext cx="8096885" cy="5228590"/>
                    </a:xfrm>
                    <a:prstGeom prst="rect">
                      <a:avLst/>
                    </a:prstGeom>
                    <a:noFill/>
                    <a:ln>
                      <a:noFill/>
                    </a:ln>
                  </pic:spPr>
                </pic:pic>
              </a:graphicData>
            </a:graphic>
          </wp:inline>
        </w:drawing>
      </w:r>
    </w:p>
    <w:p>
      <w:pPr>
        <w:jc w:val="both"/>
      </w:pPr>
    </w:p>
    <w:p>
      <w:pPr>
        <w:jc w:val="both"/>
      </w:pPr>
    </w:p>
    <w:p>
      <w:pPr>
        <w:jc w:val="both"/>
      </w:pPr>
      <w:r>
        <w:drawing>
          <wp:inline distT="0" distB="0" distL="114300" distR="114300">
            <wp:extent cx="8096885" cy="2840990"/>
            <wp:effectExtent l="0" t="0" r="18415" b="1651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2"/>
                    <a:stretch>
                      <a:fillRect/>
                    </a:stretch>
                  </pic:blipFill>
                  <pic:spPr>
                    <a:xfrm>
                      <a:off x="0" y="0"/>
                      <a:ext cx="8096885" cy="2840990"/>
                    </a:xfrm>
                    <a:prstGeom prst="rect">
                      <a:avLst/>
                    </a:prstGeom>
                    <a:noFill/>
                    <a:ln>
                      <a:noFill/>
                    </a:ln>
                  </pic:spPr>
                </pic:pic>
              </a:graphicData>
            </a:graphic>
          </wp:inline>
        </w:drawing>
      </w: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r>
        <w:drawing>
          <wp:inline distT="0" distB="0" distL="114300" distR="114300">
            <wp:extent cx="8094980" cy="5459095"/>
            <wp:effectExtent l="0" t="0" r="1270" b="825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3"/>
                    <a:stretch>
                      <a:fillRect/>
                    </a:stretch>
                  </pic:blipFill>
                  <pic:spPr>
                    <a:xfrm>
                      <a:off x="0" y="0"/>
                      <a:ext cx="8094980" cy="5459095"/>
                    </a:xfrm>
                    <a:prstGeom prst="rect">
                      <a:avLst/>
                    </a:prstGeom>
                    <a:noFill/>
                    <a:ln>
                      <a:noFill/>
                    </a:ln>
                  </pic:spPr>
                </pic:pic>
              </a:graphicData>
            </a:graphic>
          </wp:inline>
        </w:drawing>
      </w:r>
    </w:p>
    <w:p>
      <w:pPr>
        <w:jc w:val="both"/>
      </w:pPr>
      <w:r>
        <w:drawing>
          <wp:inline distT="0" distB="0" distL="114300" distR="114300">
            <wp:extent cx="8094980" cy="4480560"/>
            <wp:effectExtent l="0" t="0" r="1270" b="1524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4"/>
                    <a:stretch>
                      <a:fillRect/>
                    </a:stretch>
                  </pic:blipFill>
                  <pic:spPr>
                    <a:xfrm>
                      <a:off x="0" y="0"/>
                      <a:ext cx="8094980" cy="4480560"/>
                    </a:xfrm>
                    <a:prstGeom prst="rect">
                      <a:avLst/>
                    </a:prstGeom>
                    <a:noFill/>
                    <a:ln>
                      <a:noFill/>
                    </a:ln>
                  </pic:spPr>
                </pic:pic>
              </a:graphicData>
            </a:graphic>
          </wp:inline>
        </w:drawing>
      </w:r>
    </w:p>
    <w:p>
      <w:pPr>
        <w:jc w:val="both"/>
      </w:pPr>
    </w:p>
    <w:p>
      <w:pPr>
        <w:jc w:val="both"/>
      </w:pPr>
    </w:p>
    <w:p>
      <w:pPr>
        <w:jc w:val="both"/>
      </w:pPr>
    </w:p>
    <w:p>
      <w:pPr>
        <w:jc w:val="both"/>
      </w:pPr>
    </w:p>
    <w:p>
      <w:pPr>
        <w:jc w:val="both"/>
      </w:pPr>
    </w:p>
    <w:p>
      <w:pPr>
        <w:jc w:val="both"/>
      </w:pPr>
    </w:p>
    <w:p>
      <w:pPr>
        <w:jc w:val="both"/>
      </w:pPr>
      <w:r>
        <w:drawing>
          <wp:inline distT="0" distB="0" distL="114300" distR="114300">
            <wp:extent cx="8091805" cy="5030470"/>
            <wp:effectExtent l="0" t="0" r="4445" b="1778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5"/>
                    <a:stretch>
                      <a:fillRect/>
                    </a:stretch>
                  </pic:blipFill>
                  <pic:spPr>
                    <a:xfrm>
                      <a:off x="0" y="0"/>
                      <a:ext cx="8091805" cy="5030470"/>
                    </a:xfrm>
                    <a:prstGeom prst="rect">
                      <a:avLst/>
                    </a:prstGeom>
                    <a:noFill/>
                    <a:ln>
                      <a:noFill/>
                    </a:ln>
                  </pic:spPr>
                </pic:pic>
              </a:graphicData>
            </a:graphic>
          </wp:inline>
        </w:drawing>
      </w:r>
    </w:p>
    <w:p>
      <w:pPr>
        <w:jc w:val="both"/>
      </w:pPr>
    </w:p>
    <w:p>
      <w:pPr>
        <w:jc w:val="both"/>
      </w:pPr>
      <w:r>
        <w:drawing>
          <wp:inline distT="0" distB="0" distL="114300" distR="114300">
            <wp:extent cx="8091805" cy="2891790"/>
            <wp:effectExtent l="0" t="0" r="4445" b="381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6"/>
                    <a:stretch>
                      <a:fillRect/>
                    </a:stretch>
                  </pic:blipFill>
                  <pic:spPr>
                    <a:xfrm>
                      <a:off x="0" y="0"/>
                      <a:ext cx="8091805" cy="2891790"/>
                    </a:xfrm>
                    <a:prstGeom prst="rect">
                      <a:avLst/>
                    </a:prstGeom>
                    <a:noFill/>
                    <a:ln>
                      <a:noFill/>
                    </a:ln>
                  </pic:spPr>
                </pic:pic>
              </a:graphicData>
            </a:graphic>
          </wp:inline>
        </w:drawing>
      </w: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rPr>
          <w:rFonts w:hint="eastAsia"/>
        </w:rPr>
      </w:pPr>
    </w:p>
    <w:p>
      <w:pPr>
        <w:jc w:val="both"/>
        <w:rPr>
          <w:rFonts w:hint="eastAsia"/>
        </w:rPr>
      </w:pPr>
    </w:p>
    <w:p>
      <w:pPr>
        <w:jc w:val="both"/>
      </w:pPr>
      <w:r>
        <w:drawing>
          <wp:inline distT="0" distB="0" distL="114300" distR="114300">
            <wp:extent cx="8091170" cy="2564130"/>
            <wp:effectExtent l="0" t="0" r="5080" b="762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7"/>
                    <a:stretch>
                      <a:fillRect/>
                    </a:stretch>
                  </pic:blipFill>
                  <pic:spPr>
                    <a:xfrm>
                      <a:off x="0" y="0"/>
                      <a:ext cx="8091170" cy="2564130"/>
                    </a:xfrm>
                    <a:prstGeom prst="rect">
                      <a:avLst/>
                    </a:prstGeom>
                    <a:noFill/>
                    <a:ln>
                      <a:noFill/>
                    </a:ln>
                  </pic:spPr>
                </pic:pic>
              </a:graphicData>
            </a:graphic>
          </wp:inline>
        </w:drawing>
      </w:r>
    </w:p>
    <w:p>
      <w:pPr>
        <w:bidi w:val="0"/>
        <w:rPr>
          <w:rFonts w:hint="eastAsia"/>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76" w:right="0" w:rightChars="0"/>
        <w:jc w:val="left"/>
        <w:textAlignment w:val="auto"/>
        <w:rPr>
          <w:rFonts w:hint="eastAsia"/>
          <w:lang w:val="en-US" w:eastAsia="zh-CN"/>
        </w:rPr>
        <w:sectPr>
          <w:pgSz w:w="16838" w:h="11906" w:orient="landscape"/>
          <w:pgMar w:top="1531" w:right="2098" w:bottom="1531" w:left="1984"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说明：</w:t>
      </w:r>
      <w:r>
        <w:rPr>
          <w:rFonts w:hint="eastAsia" w:ascii="仿宋_GB2312" w:hAnsi="仿宋_GB2312" w:eastAsia="仿宋_GB2312" w:cs="仿宋_GB2312"/>
          <w:sz w:val="32"/>
          <w:szCs w:val="32"/>
          <w:lang w:eastAsia="zh-CN"/>
        </w:rPr>
        <w:t>益阳市应急管理局（机关）</w:t>
      </w:r>
      <w:r>
        <w:rPr>
          <w:rFonts w:hint="eastAsia" w:ascii="仿宋_GB2312" w:hAnsi="仿宋_GB2312" w:eastAsia="仿宋_GB2312" w:cs="仿宋_GB2312"/>
          <w:sz w:val="32"/>
          <w:szCs w:val="32"/>
        </w:rPr>
        <w:t>没有政府性基金收入，也没有政府性基金安排的支出，故本表无</w:t>
      </w:r>
      <w:r>
        <w:rPr>
          <w:rFonts w:hint="eastAsia" w:ascii="仿宋_GB2312" w:hAnsi="仿宋_GB2312" w:eastAsia="仿宋_GB2312" w:cs="仿宋_GB2312"/>
          <w:sz w:val="32"/>
          <w:szCs w:val="32"/>
          <w:lang w:eastAsia="zh-CN"/>
        </w:rPr>
        <w:t>数据。</w:t>
      </w: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第三部分</w:t>
      </w:r>
      <w:r>
        <w:rPr>
          <w:rFonts w:hint="eastAsia" w:asciiTheme="majorEastAsia" w:hAnsiTheme="majorEastAsia" w:eastAsiaTheme="majorEastAsia" w:cstheme="majorEastAsia"/>
          <w:sz w:val="44"/>
          <w:szCs w:val="44"/>
          <w:lang w:val="en-US" w:eastAsia="zh-CN"/>
        </w:rPr>
        <w:t xml:space="preserve">  </w:t>
      </w:r>
      <w:r>
        <w:rPr>
          <w:rFonts w:hint="eastAsia" w:asciiTheme="majorEastAsia" w:hAnsiTheme="majorEastAsia" w:eastAsiaTheme="majorEastAsia" w:cstheme="majorEastAsia"/>
          <w:sz w:val="44"/>
          <w:szCs w:val="44"/>
          <w:lang w:eastAsia="zh-CN"/>
        </w:rPr>
        <w:t>益阳市应急管理局（机关）</w:t>
      </w:r>
      <w:r>
        <w:rPr>
          <w:rFonts w:hint="eastAsia" w:asciiTheme="majorEastAsia" w:hAnsiTheme="majorEastAsia" w:eastAsiaTheme="majorEastAsia" w:cstheme="majorEastAsia"/>
          <w:sz w:val="44"/>
          <w:szCs w:val="44"/>
        </w:rPr>
        <w:t>2019 年度部门决算情况说明</w:t>
      </w:r>
    </w:p>
    <w:p>
      <w:pPr>
        <w:ind w:firstLine="640"/>
        <w:jc w:val="left"/>
        <w:rPr>
          <w:rFonts w:ascii="黑体" w:hAnsi="黑体" w:eastAsia="黑体" w:cs="黑体"/>
          <w:sz w:val="15"/>
          <w:szCs w:val="15"/>
        </w:rPr>
      </w:pPr>
    </w:p>
    <w:p>
      <w:pPr>
        <w:ind w:firstLine="640"/>
        <w:jc w:val="left"/>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lang w:eastAsia="zh-CN"/>
        </w:rPr>
        <w:t>益阳市应急管理局（机关）</w:t>
      </w:r>
      <w:r>
        <w:rPr>
          <w:rFonts w:ascii="黑体" w:hAnsi="黑体" w:eastAsia="黑体" w:cs="黑体"/>
          <w:sz w:val="32"/>
        </w:rPr>
        <w:t xml:space="preserve"> 201</w:t>
      </w:r>
      <w:r>
        <w:rPr>
          <w:rFonts w:hint="eastAsia" w:ascii="黑体" w:hAnsi="黑体" w:eastAsia="黑体" w:cs="黑体"/>
          <w:sz w:val="32"/>
        </w:rPr>
        <w:t>9</w:t>
      </w:r>
      <w:r>
        <w:rPr>
          <w:rFonts w:ascii="黑体" w:hAnsi="黑体" w:eastAsia="黑体" w:cs="黑体"/>
          <w:sz w:val="32"/>
        </w:rPr>
        <w:t xml:space="preserve"> 年度收入支出决算总体情况说明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益阳市应急管理局（机关）</w:t>
      </w:r>
      <w:r>
        <w:rPr>
          <w:rFonts w:hint="eastAsia" w:ascii="仿宋_GB2312" w:hAnsi="仿宋_GB2312" w:eastAsia="仿宋_GB2312" w:cs="仿宋_GB2312"/>
          <w:sz w:val="32"/>
        </w:rPr>
        <w:t>2019年度收</w:t>
      </w:r>
      <w:r>
        <w:rPr>
          <w:rFonts w:hint="eastAsia" w:ascii="仿宋_GB2312" w:hAnsi="仿宋_GB2312" w:eastAsia="仿宋_GB2312" w:cs="仿宋_GB2312"/>
          <w:sz w:val="32"/>
          <w:lang w:eastAsia="zh-CN"/>
        </w:rPr>
        <w:t>、支</w:t>
      </w:r>
      <w:r>
        <w:rPr>
          <w:rFonts w:hint="eastAsia" w:ascii="仿宋_GB2312" w:hAnsi="仿宋_GB2312" w:eastAsia="仿宋_GB2312" w:cs="仿宋_GB2312"/>
          <w:sz w:val="32"/>
        </w:rPr>
        <w:t>总计</w:t>
      </w:r>
      <w:r>
        <w:rPr>
          <w:rFonts w:hint="eastAsia" w:ascii="仿宋_GB2312" w:hAnsi="仿宋_GB2312" w:eastAsia="仿宋_GB2312" w:cs="仿宋_GB2312"/>
          <w:sz w:val="32"/>
          <w:lang w:val="en-US" w:eastAsia="zh-CN"/>
        </w:rPr>
        <w:t>1919.45</w:t>
      </w:r>
      <w:r>
        <w:rPr>
          <w:rFonts w:hint="eastAsia" w:ascii="仿宋_GB2312" w:hAnsi="仿宋_GB2312" w:eastAsia="仿宋_GB2312" w:cs="仿宋_GB2312"/>
          <w:sz w:val="32"/>
        </w:rPr>
        <w:t>万元，比上年同期</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50.44</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2.56</w:t>
      </w:r>
      <w:r>
        <w:rPr>
          <w:rFonts w:hint="eastAsia" w:ascii="仿宋_GB2312" w:hAnsi="仿宋_GB2312" w:eastAsia="仿宋_GB2312" w:cs="仿宋_GB2312"/>
          <w:sz w:val="32"/>
        </w:rPr>
        <w:t>%；主要原因：</w:t>
      </w:r>
      <w:r>
        <w:rPr>
          <w:rFonts w:hint="eastAsia" w:ascii="仿宋_GB2312" w:hAnsi="仿宋_GB2312" w:eastAsia="仿宋_GB2312" w:cs="仿宋_GB2312"/>
          <w:sz w:val="32"/>
          <w:lang w:eastAsia="zh-CN"/>
        </w:rPr>
        <w:t>市财政返还被统筹的结转结余资金减少。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lang w:eastAsia="zh-CN"/>
        </w:rPr>
      </w:pPr>
      <w:r>
        <w:rPr>
          <w:rFonts w:ascii="黑体" w:hAnsi="黑体" w:eastAsia="黑体" w:cs="黑体"/>
          <w:sz w:val="32"/>
        </w:rPr>
        <w:t>二、关于</w:t>
      </w:r>
      <w:r>
        <w:rPr>
          <w:rFonts w:hint="eastAsia" w:ascii="黑体" w:hAnsi="黑体" w:eastAsia="黑体" w:cs="黑体"/>
          <w:sz w:val="32"/>
          <w:lang w:eastAsia="zh-CN"/>
        </w:rPr>
        <w:t>益阳市应急管理局（机关）</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年度收入决情</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lang w:eastAsia="zh-CN"/>
        </w:rPr>
      </w:pPr>
      <w:r>
        <w:rPr>
          <w:rFonts w:hint="eastAsia" w:ascii="黑体" w:hAnsi="黑体" w:eastAsia="黑体" w:cs="黑体"/>
          <w:sz w:val="32"/>
          <w:lang w:eastAsia="zh-CN"/>
        </w:rPr>
        <w:t>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sz w:val="32"/>
        </w:rPr>
      </w:pPr>
      <w:r>
        <w:rPr>
          <w:rFonts w:hint="eastAsia" w:ascii="仿宋_GB2312" w:hAnsi="仿宋_GB2312" w:eastAsia="仿宋_GB2312" w:cs="仿宋_GB2312"/>
          <w:sz w:val="32"/>
        </w:rPr>
        <w:t xml:space="preserve">2019年度收入合计 </w:t>
      </w:r>
      <w:r>
        <w:rPr>
          <w:rFonts w:hint="eastAsia" w:ascii="仿宋_GB2312" w:hAnsi="仿宋_GB2312" w:eastAsia="仿宋_GB2312" w:cs="仿宋_GB2312"/>
          <w:sz w:val="32"/>
          <w:lang w:val="en-US" w:eastAsia="zh-CN"/>
        </w:rPr>
        <w:t>1296.46</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全部为财政拨款收入。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lang w:eastAsia="zh-CN"/>
        </w:rPr>
        <w:t>益阳市应急管理局（机关）</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年度支出决算情</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lang w:eastAsia="zh-CN"/>
        </w:rPr>
      </w:pPr>
      <w:r>
        <w:rPr>
          <w:rFonts w:hint="eastAsia" w:ascii="黑体" w:hAnsi="黑体" w:eastAsia="黑体" w:cs="黑体"/>
          <w:sz w:val="32"/>
          <w:lang w:eastAsia="zh-CN"/>
        </w:rPr>
        <w:t>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2019年度支出合计</w:t>
      </w:r>
      <w:r>
        <w:rPr>
          <w:rFonts w:hint="eastAsia" w:ascii="仿宋_GB2312" w:hAnsi="仿宋_GB2312" w:eastAsia="仿宋_GB2312" w:cs="仿宋_GB2312"/>
          <w:sz w:val="32"/>
          <w:lang w:val="en-US" w:eastAsia="zh-CN"/>
        </w:rPr>
        <w:t>1115.24万元</w:t>
      </w:r>
      <w:r>
        <w:rPr>
          <w:rFonts w:hint="eastAsia" w:ascii="仿宋_GB2312" w:hAnsi="仿宋_GB2312" w:eastAsia="仿宋_GB2312" w:cs="仿宋_GB2312"/>
          <w:sz w:val="32"/>
        </w:rPr>
        <w:t>，其中：基本支出</w:t>
      </w:r>
      <w:r>
        <w:rPr>
          <w:rFonts w:hint="eastAsia" w:ascii="仿宋_GB2312" w:hAnsi="仿宋_GB2312" w:eastAsia="仿宋_GB2312" w:cs="仿宋_GB2312"/>
          <w:sz w:val="32"/>
          <w:lang w:val="en-US" w:eastAsia="zh-CN"/>
        </w:rPr>
        <w:t>780.87</w:t>
      </w:r>
      <w:r>
        <w:rPr>
          <w:rFonts w:hint="eastAsia" w:ascii="仿宋_GB2312" w:hAnsi="仿宋_GB2312" w:eastAsia="仿宋_GB2312" w:cs="仿宋_GB2312"/>
          <w:sz w:val="32"/>
        </w:rPr>
        <w:t>万元，占</w:t>
      </w:r>
      <w:r>
        <w:rPr>
          <w:rFonts w:hint="eastAsia" w:ascii="仿宋_GB2312" w:hAnsi="仿宋_GB2312" w:eastAsia="仿宋_GB2312" w:cs="仿宋_GB2312"/>
          <w:sz w:val="32"/>
          <w:lang w:val="en-US" w:eastAsia="zh-CN"/>
        </w:rPr>
        <w:t>70.02</w:t>
      </w:r>
      <w:r>
        <w:rPr>
          <w:rFonts w:hint="eastAsia" w:ascii="仿宋_GB2312" w:hAnsi="仿宋_GB2312" w:eastAsia="仿宋_GB2312" w:cs="仿宋_GB2312"/>
          <w:sz w:val="32"/>
        </w:rPr>
        <w:t>%；项目支出</w:t>
      </w:r>
      <w:r>
        <w:rPr>
          <w:rFonts w:hint="eastAsia" w:ascii="仿宋_GB2312" w:hAnsi="仿宋_GB2312" w:eastAsia="仿宋_GB2312" w:cs="仿宋_GB2312"/>
          <w:sz w:val="32"/>
          <w:lang w:val="en-US" w:eastAsia="zh-CN"/>
        </w:rPr>
        <w:t>334.37</w:t>
      </w:r>
      <w:r>
        <w:rPr>
          <w:rFonts w:hint="eastAsia" w:ascii="仿宋_GB2312" w:hAnsi="仿宋_GB2312" w:eastAsia="仿宋_GB2312" w:cs="仿宋_GB2312"/>
          <w:sz w:val="32"/>
        </w:rPr>
        <w:t>万元，占</w:t>
      </w:r>
      <w:r>
        <w:rPr>
          <w:rFonts w:hint="eastAsia" w:ascii="仿宋_GB2312" w:hAnsi="仿宋_GB2312" w:eastAsia="仿宋_GB2312" w:cs="仿宋_GB2312"/>
          <w:sz w:val="32"/>
          <w:lang w:val="en-US" w:eastAsia="zh-CN"/>
        </w:rPr>
        <w:t>29.98</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sz w:val="32"/>
        </w:rPr>
      </w:pPr>
      <w:r>
        <w:rPr>
          <w:rFonts w:ascii="黑体" w:hAnsi="黑体" w:eastAsia="黑体" w:cs="黑体"/>
          <w:sz w:val="32"/>
        </w:rPr>
        <w:t>四、关于</w:t>
      </w:r>
      <w:r>
        <w:rPr>
          <w:rFonts w:hint="eastAsia" w:ascii="黑体" w:hAnsi="黑体" w:eastAsia="黑体" w:cs="黑体"/>
          <w:sz w:val="32"/>
          <w:lang w:eastAsia="zh-CN"/>
        </w:rPr>
        <w:t>益阳市应急管理局（机关）</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年度财政拨款收入支出决算总体情况说明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rPr>
      </w:pPr>
      <w:r>
        <w:rPr>
          <w:rFonts w:ascii="仿宋" w:hAnsi="仿宋" w:eastAsia="仿宋" w:cs="仿宋"/>
          <w:sz w:val="32"/>
        </w:rPr>
        <w:t xml:space="preserve"> </w:t>
      </w:r>
      <w:r>
        <w:rPr>
          <w:rFonts w:hint="eastAsia" w:ascii="仿宋_GB2312" w:hAnsi="仿宋_GB2312" w:eastAsia="仿宋_GB2312" w:cs="仿宋_GB2312"/>
          <w:sz w:val="32"/>
        </w:rPr>
        <w:t>2019 年度财政拨款</w:t>
      </w:r>
      <w:r>
        <w:rPr>
          <w:rFonts w:hint="eastAsia" w:ascii="仿宋_GB2312" w:hAnsi="仿宋_GB2312" w:eastAsia="仿宋_GB2312" w:cs="仿宋_GB2312"/>
          <w:sz w:val="32"/>
          <w:lang w:eastAsia="zh-CN"/>
        </w:rPr>
        <w:t>收、支</w:t>
      </w:r>
      <w:r>
        <w:rPr>
          <w:rFonts w:hint="eastAsia" w:ascii="仿宋_GB2312" w:hAnsi="仿宋_GB2312" w:eastAsia="仿宋_GB2312" w:cs="仿宋_GB2312"/>
          <w:sz w:val="32"/>
        </w:rPr>
        <w:t>总计</w:t>
      </w:r>
      <w:r>
        <w:rPr>
          <w:rFonts w:hint="eastAsia" w:ascii="仿宋_GB2312" w:hAnsi="仿宋_GB2312" w:eastAsia="仿宋_GB2312" w:cs="仿宋_GB2312"/>
          <w:sz w:val="32"/>
          <w:lang w:val="en-US" w:eastAsia="zh-CN"/>
        </w:rPr>
        <w:t>1913.65</w:t>
      </w:r>
      <w:r>
        <w:rPr>
          <w:rFonts w:hint="eastAsia" w:ascii="仿宋_GB2312" w:hAnsi="仿宋_GB2312" w:eastAsia="仿宋_GB2312" w:cs="仿宋_GB2312"/>
          <w:sz w:val="32"/>
        </w:rPr>
        <w:t>万元，比上年同期</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49.34</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减低</w:t>
      </w:r>
      <w:r>
        <w:rPr>
          <w:rFonts w:hint="eastAsia" w:ascii="仿宋_GB2312" w:hAnsi="仿宋_GB2312" w:eastAsia="仿宋_GB2312" w:cs="仿宋_GB2312"/>
          <w:sz w:val="32"/>
          <w:lang w:val="en-US" w:eastAsia="zh-CN"/>
        </w:rPr>
        <w:t>2.51</w:t>
      </w:r>
      <w:r>
        <w:rPr>
          <w:rFonts w:hint="eastAsia" w:ascii="仿宋_GB2312" w:hAnsi="仿宋_GB2312" w:eastAsia="仿宋_GB2312" w:cs="仿宋_GB2312"/>
          <w:sz w:val="32"/>
        </w:rPr>
        <w:t>%；主要原因：</w:t>
      </w:r>
      <w:r>
        <w:rPr>
          <w:rFonts w:hint="eastAsia" w:ascii="仿宋_GB2312" w:hAnsi="仿宋_GB2312" w:eastAsia="仿宋_GB2312" w:cs="仿宋_GB2312"/>
          <w:sz w:val="32"/>
          <w:lang w:eastAsia="zh-CN"/>
        </w:rPr>
        <w:t>市财政返还被统筹的结转结余资金减少。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lang w:eastAsia="zh-CN"/>
        </w:rPr>
        <w:t>益阳市应急管理局（机关）</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年度一般公共预算财政拨款收入支出决算情况说明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楷体" w:hAnsi="楷体" w:eastAsia="楷体" w:cs="楷体"/>
          <w:sz w:val="32"/>
        </w:rPr>
      </w:pPr>
      <w:r>
        <w:rPr>
          <w:rFonts w:ascii="楷体" w:hAnsi="楷体" w:eastAsia="楷体" w:cs="楷体"/>
          <w:sz w:val="32"/>
        </w:rPr>
        <w:t>（一）一般公共预算财政拨款收入支出决算总体情况</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2019 年度</w:t>
      </w:r>
      <w:r>
        <w:rPr>
          <w:rFonts w:hint="eastAsia" w:ascii="仿宋_GB2312" w:hAnsi="仿宋_GB2312" w:eastAsia="仿宋_GB2312" w:cs="仿宋_GB2312"/>
          <w:sz w:val="32"/>
          <w:lang w:eastAsia="zh-CN"/>
        </w:rPr>
        <w:t>一般公共预算</w:t>
      </w:r>
      <w:r>
        <w:rPr>
          <w:rFonts w:hint="eastAsia" w:ascii="仿宋_GB2312" w:hAnsi="仿宋_GB2312" w:eastAsia="仿宋_GB2312" w:cs="仿宋_GB2312"/>
          <w:sz w:val="32"/>
        </w:rPr>
        <w:t>财政拨款收入总计</w:t>
      </w:r>
      <w:r>
        <w:rPr>
          <w:rFonts w:hint="eastAsia" w:ascii="仿宋_GB2312" w:hAnsi="仿宋_GB2312" w:eastAsia="仿宋_GB2312" w:cs="仿宋_GB2312"/>
          <w:sz w:val="32"/>
          <w:lang w:val="en-US" w:eastAsia="zh-CN"/>
        </w:rPr>
        <w:t>1296.46</w:t>
      </w:r>
      <w:r>
        <w:rPr>
          <w:rFonts w:hint="eastAsia" w:ascii="仿宋_GB2312" w:hAnsi="仿宋_GB2312" w:eastAsia="仿宋_GB2312" w:cs="仿宋_GB2312"/>
          <w:sz w:val="32"/>
        </w:rPr>
        <w:t>万元，比上年同期</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95.17</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下降</w:t>
      </w:r>
      <w:r>
        <w:rPr>
          <w:rFonts w:hint="eastAsia" w:ascii="仿宋_GB2312" w:hAnsi="仿宋_GB2312" w:eastAsia="仿宋_GB2312" w:cs="仿宋_GB2312"/>
          <w:sz w:val="32"/>
          <w:lang w:val="en-US" w:eastAsia="zh-CN"/>
        </w:rPr>
        <w:t>6.84</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一般公共预算</w:t>
      </w:r>
      <w:r>
        <w:rPr>
          <w:rFonts w:hint="eastAsia" w:ascii="仿宋_GB2312" w:hAnsi="仿宋_GB2312" w:eastAsia="仿宋_GB2312" w:cs="仿宋_GB2312"/>
          <w:sz w:val="32"/>
        </w:rPr>
        <w:t>财政拨款支出总计</w:t>
      </w:r>
      <w:r>
        <w:rPr>
          <w:rFonts w:hint="eastAsia" w:ascii="仿宋_GB2312" w:hAnsi="仿宋_GB2312" w:eastAsia="仿宋_GB2312" w:cs="仿宋_GB2312"/>
          <w:sz w:val="32"/>
          <w:lang w:val="en-US" w:eastAsia="zh-CN"/>
        </w:rPr>
        <w:t>1115.24</w:t>
      </w:r>
      <w:r>
        <w:rPr>
          <w:rFonts w:hint="eastAsia" w:ascii="仿宋_GB2312" w:hAnsi="仿宋_GB2312" w:eastAsia="仿宋_GB2312" w:cs="仿宋_GB2312"/>
          <w:sz w:val="32"/>
        </w:rPr>
        <w:t>万元，比上年同期减少</w:t>
      </w:r>
      <w:r>
        <w:rPr>
          <w:rFonts w:hint="eastAsia" w:ascii="仿宋_GB2312" w:hAnsi="仿宋_GB2312" w:eastAsia="仿宋_GB2312" w:cs="仿宋_GB2312"/>
          <w:sz w:val="32"/>
          <w:lang w:val="en-US" w:eastAsia="zh-CN"/>
        </w:rPr>
        <w:t>446.82</w:t>
      </w:r>
      <w:r>
        <w:rPr>
          <w:rFonts w:hint="eastAsia" w:ascii="仿宋_GB2312" w:hAnsi="仿宋_GB2312" w:eastAsia="仿宋_GB2312" w:cs="仿宋_GB2312"/>
          <w:sz w:val="32"/>
        </w:rPr>
        <w:t>万元，下降</w:t>
      </w:r>
      <w:r>
        <w:rPr>
          <w:rFonts w:hint="eastAsia" w:ascii="仿宋_GB2312" w:hAnsi="仿宋_GB2312" w:eastAsia="仿宋_GB2312" w:cs="仿宋_GB2312"/>
          <w:sz w:val="32"/>
          <w:lang w:val="en-US" w:eastAsia="zh-CN"/>
        </w:rPr>
        <w:t>28.60</w:t>
      </w:r>
      <w:r>
        <w:rPr>
          <w:rFonts w:hint="eastAsia" w:ascii="仿宋_GB2312" w:hAnsi="仿宋_GB2312" w:eastAsia="仿宋_GB2312" w:cs="仿宋_GB2312"/>
          <w:sz w:val="32"/>
        </w:rPr>
        <w:t>%。主要原因：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lang w:eastAsia="zh-CN"/>
        </w:rPr>
        <w:t>收入减少</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市财政返还局机关被统筹的结转结余资金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支出</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应急救援指挥平台已经于</w:t>
      </w:r>
      <w:r>
        <w:rPr>
          <w:rFonts w:hint="eastAsia" w:ascii="仿宋_GB2312" w:hAnsi="仿宋_GB2312" w:eastAsia="仿宋_GB2312" w:cs="仿宋_GB2312"/>
          <w:sz w:val="32"/>
          <w:lang w:val="en-US" w:eastAsia="zh-CN"/>
        </w:rPr>
        <w:t>2018年</w:t>
      </w:r>
      <w:r>
        <w:rPr>
          <w:rFonts w:hint="eastAsia" w:ascii="仿宋_GB2312" w:hAnsi="仿宋_GB2312" w:eastAsia="仿宋_GB2312" w:cs="仿宋_GB2312"/>
          <w:sz w:val="32"/>
          <w:lang w:eastAsia="zh-CN"/>
        </w:rPr>
        <w:t>建设完成，本年度无大额项目支出。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楷体" w:hAnsi="楷体" w:eastAsia="楷体" w:cs="楷体"/>
          <w:sz w:val="32"/>
        </w:rPr>
      </w:pPr>
      <w:r>
        <w:rPr>
          <w:rFonts w:ascii="楷体" w:hAnsi="楷体" w:eastAsia="楷体" w:cs="楷体"/>
          <w:sz w:val="32"/>
        </w:rPr>
        <w:t>（二）一般公共预算财政拨款支出决算构成情况</w:t>
      </w:r>
    </w:p>
    <w:p>
      <w:pPr>
        <w:keepNext w:val="0"/>
        <w:keepLines w:val="0"/>
        <w:pageBreakBefore w:val="0"/>
        <w:widowControl w:val="0"/>
        <w:kinsoku/>
        <w:wordWrap/>
        <w:overflowPunct/>
        <w:topLinePunct w:val="0"/>
        <w:autoSpaceDE/>
        <w:autoSpaceDN/>
        <w:bidi w:val="0"/>
        <w:adjustRightInd/>
        <w:snapToGrid/>
        <w:spacing w:line="560" w:lineRule="exact"/>
        <w:ind w:firstLine="806" w:firstLineChars="252"/>
        <w:jc w:val="both"/>
        <w:textAlignment w:val="auto"/>
        <w:rPr>
          <w:rFonts w:hint="default" w:ascii="楷体" w:hAnsi="楷体" w:eastAsia="楷体" w:cs="楷体"/>
          <w:sz w:val="32"/>
          <w:lang w:val="en-US"/>
        </w:rPr>
      </w:pPr>
      <w:r>
        <w:rPr>
          <w:rFonts w:hint="eastAsia" w:ascii="仿宋_GB2312" w:hAnsi="仿宋_GB2312" w:eastAsia="仿宋_GB2312" w:cs="仿宋_GB2312"/>
          <w:sz w:val="32"/>
        </w:rPr>
        <w:t>2019 年度</w:t>
      </w:r>
      <w:r>
        <w:rPr>
          <w:rFonts w:hint="eastAsia" w:ascii="仿宋_GB2312" w:hAnsi="仿宋_GB2312" w:eastAsia="仿宋_GB2312" w:cs="仿宋_GB2312"/>
          <w:sz w:val="32"/>
          <w:lang w:eastAsia="zh-CN"/>
        </w:rPr>
        <w:t>一般公共预算</w:t>
      </w:r>
      <w:r>
        <w:rPr>
          <w:rFonts w:hint="eastAsia" w:ascii="仿宋_GB2312" w:hAnsi="仿宋_GB2312" w:eastAsia="仿宋_GB2312" w:cs="仿宋_GB2312"/>
          <w:sz w:val="32"/>
        </w:rPr>
        <w:t>财政拨款支出</w:t>
      </w:r>
      <w:r>
        <w:rPr>
          <w:rFonts w:hint="eastAsia" w:ascii="仿宋_GB2312" w:hAnsi="仿宋_GB2312" w:eastAsia="仿宋_GB2312" w:cs="仿宋_GB2312"/>
          <w:sz w:val="32"/>
          <w:lang w:val="en-US" w:eastAsia="zh-CN"/>
        </w:rPr>
        <w:t>1115.24</w:t>
      </w:r>
      <w:r>
        <w:rPr>
          <w:rFonts w:hint="eastAsia" w:ascii="仿宋_GB2312" w:hAnsi="仿宋_GB2312" w:eastAsia="仿宋_GB2312" w:cs="仿宋_GB2312"/>
          <w:sz w:val="32"/>
        </w:rPr>
        <w:t>万元，主要用于以下方面</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一般公共服务（类）支出</w:t>
      </w:r>
      <w:r>
        <w:rPr>
          <w:rFonts w:hint="eastAsia" w:ascii="仿宋_GB2312" w:hAnsi="仿宋_GB2312" w:eastAsia="仿宋_GB2312" w:cs="仿宋_GB2312"/>
          <w:sz w:val="32"/>
          <w:lang w:val="en-US" w:eastAsia="zh-CN"/>
        </w:rPr>
        <w:t>5.13</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占</w:t>
      </w:r>
      <w:r>
        <w:rPr>
          <w:rFonts w:hint="eastAsia" w:ascii="仿宋_GB2312" w:hAnsi="仿宋_GB2312" w:eastAsia="仿宋_GB2312" w:cs="仿宋_GB2312"/>
          <w:sz w:val="32"/>
          <w:lang w:val="en-US" w:eastAsia="zh-CN"/>
        </w:rPr>
        <w:t>0.46</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社会保障和就业</w:t>
      </w:r>
      <w:r>
        <w:rPr>
          <w:rFonts w:hint="eastAsia" w:ascii="仿宋_GB2312" w:hAnsi="仿宋_GB2312" w:eastAsia="仿宋_GB2312" w:cs="仿宋_GB2312"/>
          <w:sz w:val="32"/>
        </w:rPr>
        <w:t>（类）支出</w:t>
      </w:r>
      <w:r>
        <w:rPr>
          <w:rFonts w:hint="eastAsia" w:ascii="仿宋_GB2312" w:hAnsi="仿宋_GB2312" w:eastAsia="仿宋_GB2312" w:cs="仿宋_GB2312"/>
          <w:sz w:val="32"/>
          <w:lang w:val="en-US" w:eastAsia="zh-CN"/>
        </w:rPr>
        <w:t>7.67</w:t>
      </w:r>
      <w:r>
        <w:rPr>
          <w:rFonts w:hint="eastAsia" w:ascii="仿宋_GB2312" w:hAnsi="仿宋_GB2312" w:eastAsia="仿宋_GB2312" w:cs="仿宋_GB2312"/>
          <w:sz w:val="32"/>
        </w:rPr>
        <w:t xml:space="preserve">万元，占 </w:t>
      </w:r>
      <w:r>
        <w:rPr>
          <w:rFonts w:hint="eastAsia" w:ascii="仿宋_GB2312" w:hAnsi="仿宋_GB2312" w:eastAsia="仿宋_GB2312" w:cs="仿宋_GB2312"/>
          <w:sz w:val="32"/>
          <w:lang w:val="en-US" w:eastAsia="zh-CN"/>
        </w:rPr>
        <w:t>0.69</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卫生健康</w:t>
      </w:r>
      <w:r>
        <w:rPr>
          <w:rFonts w:hint="eastAsia" w:ascii="仿宋_GB2312" w:hAnsi="仿宋_GB2312" w:eastAsia="仿宋_GB2312" w:cs="仿宋_GB2312"/>
          <w:sz w:val="32"/>
        </w:rPr>
        <w:t>（类）支出</w:t>
      </w:r>
      <w:r>
        <w:rPr>
          <w:rFonts w:hint="eastAsia" w:ascii="仿宋_GB2312" w:hAnsi="仿宋_GB2312" w:eastAsia="仿宋_GB2312" w:cs="仿宋_GB2312"/>
          <w:sz w:val="32"/>
          <w:lang w:val="en-US" w:eastAsia="zh-CN"/>
        </w:rPr>
        <w:t>35.01</w:t>
      </w:r>
      <w:r>
        <w:rPr>
          <w:rFonts w:hint="eastAsia" w:ascii="仿宋_GB2312" w:hAnsi="仿宋_GB2312" w:eastAsia="仿宋_GB2312" w:cs="仿宋_GB2312"/>
          <w:sz w:val="32"/>
        </w:rPr>
        <w:t>万元，占</w:t>
      </w:r>
      <w:r>
        <w:rPr>
          <w:rFonts w:hint="eastAsia" w:ascii="仿宋_GB2312" w:hAnsi="仿宋_GB2312" w:eastAsia="仿宋_GB2312" w:cs="仿宋_GB2312"/>
          <w:sz w:val="32"/>
          <w:lang w:val="en-US" w:eastAsia="zh-CN"/>
        </w:rPr>
        <w:t>3.14</w:t>
      </w:r>
      <w:r>
        <w:rPr>
          <w:rFonts w:hint="eastAsia" w:ascii="仿宋_GB2312" w:hAnsi="仿宋_GB2312" w:eastAsia="仿宋_GB2312" w:cs="仿宋_GB2312"/>
          <w:sz w:val="32"/>
        </w:rPr>
        <w:t xml:space="preserve">%； </w:t>
      </w:r>
      <w:r>
        <w:rPr>
          <w:rFonts w:hint="eastAsia" w:ascii="仿宋_GB2312" w:hAnsi="仿宋_GB2312" w:eastAsia="仿宋_GB2312" w:cs="仿宋_GB2312"/>
          <w:sz w:val="32"/>
          <w:lang w:eastAsia="zh-CN"/>
        </w:rPr>
        <w:t>资源勘探信息等</w:t>
      </w:r>
      <w:r>
        <w:rPr>
          <w:rFonts w:hint="eastAsia" w:ascii="仿宋_GB2312" w:hAnsi="仿宋_GB2312" w:eastAsia="仿宋_GB2312" w:cs="仿宋_GB2312"/>
          <w:sz w:val="32"/>
        </w:rPr>
        <w:t>（类）支出</w:t>
      </w:r>
      <w:r>
        <w:rPr>
          <w:rFonts w:hint="eastAsia" w:ascii="仿宋_GB2312" w:hAnsi="仿宋_GB2312" w:eastAsia="仿宋_GB2312" w:cs="仿宋_GB2312"/>
          <w:sz w:val="32"/>
          <w:lang w:val="en-US" w:eastAsia="zh-CN"/>
        </w:rPr>
        <w:t>18.00</w:t>
      </w:r>
      <w:r>
        <w:rPr>
          <w:rFonts w:hint="eastAsia" w:ascii="仿宋_GB2312" w:hAnsi="仿宋_GB2312" w:eastAsia="仿宋_GB2312" w:cs="仿宋_GB2312"/>
          <w:sz w:val="32"/>
        </w:rPr>
        <w:t xml:space="preserve"> 万元，</w:t>
      </w:r>
      <w:r>
        <w:rPr>
          <w:rFonts w:hint="eastAsia" w:ascii="仿宋_GB2312" w:hAnsi="仿宋_GB2312" w:eastAsia="仿宋_GB2312" w:cs="仿宋_GB2312"/>
          <w:sz w:val="32"/>
          <w:lang w:eastAsia="zh-CN"/>
        </w:rPr>
        <w:t>占</w:t>
      </w:r>
      <w:r>
        <w:rPr>
          <w:rFonts w:hint="eastAsia" w:ascii="仿宋_GB2312" w:hAnsi="仿宋_GB2312" w:eastAsia="仿宋_GB2312" w:cs="仿宋_GB2312"/>
          <w:sz w:val="32"/>
          <w:lang w:val="en-US" w:eastAsia="zh-CN"/>
        </w:rPr>
        <w:t>1.61</w:t>
      </w:r>
      <w:r>
        <w:rPr>
          <w:rFonts w:hint="eastAsia" w:ascii="仿宋_GB2312" w:hAnsi="仿宋_GB2312" w:eastAsia="仿宋_GB2312" w:cs="仿宋_GB2312"/>
          <w:sz w:val="32"/>
        </w:rPr>
        <w:t xml:space="preserve">%； 住房保障（类）支出 </w:t>
      </w:r>
      <w:r>
        <w:rPr>
          <w:rFonts w:hint="eastAsia" w:ascii="仿宋_GB2312" w:hAnsi="仿宋_GB2312" w:eastAsia="仿宋_GB2312" w:cs="仿宋_GB2312"/>
          <w:sz w:val="32"/>
          <w:lang w:val="en-US" w:eastAsia="zh-CN"/>
        </w:rPr>
        <w:t>35.82</w:t>
      </w:r>
      <w:r>
        <w:rPr>
          <w:rFonts w:hint="eastAsia" w:ascii="仿宋_GB2312" w:hAnsi="仿宋_GB2312" w:eastAsia="仿宋_GB2312" w:cs="仿宋_GB2312"/>
          <w:sz w:val="32"/>
        </w:rPr>
        <w:t>万元，占</w:t>
      </w:r>
      <w:r>
        <w:rPr>
          <w:rFonts w:hint="eastAsia" w:ascii="仿宋_GB2312" w:hAnsi="仿宋_GB2312" w:eastAsia="仿宋_GB2312" w:cs="仿宋_GB2312"/>
          <w:sz w:val="32"/>
          <w:lang w:val="en-US" w:eastAsia="zh-CN"/>
        </w:rPr>
        <w:t>3.21</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灾害防治及应急管理</w:t>
      </w:r>
      <w:r>
        <w:rPr>
          <w:rFonts w:hint="eastAsia" w:ascii="仿宋_GB2312" w:hAnsi="仿宋_GB2312" w:eastAsia="仿宋_GB2312" w:cs="仿宋_GB2312"/>
          <w:sz w:val="32"/>
        </w:rPr>
        <w:t>（类）支</w:t>
      </w:r>
      <w:r>
        <w:rPr>
          <w:rFonts w:hint="eastAsia" w:ascii="仿宋_GB2312" w:hAnsi="仿宋_GB2312" w:eastAsia="仿宋_GB2312" w:cs="仿宋_GB2312"/>
          <w:sz w:val="32"/>
          <w:lang w:eastAsia="zh-CN"/>
        </w:rPr>
        <w:t>出</w:t>
      </w:r>
      <w:r>
        <w:rPr>
          <w:rFonts w:hint="eastAsia" w:ascii="仿宋_GB2312" w:hAnsi="仿宋_GB2312" w:eastAsia="仿宋_GB2312" w:cs="仿宋_GB2312"/>
          <w:sz w:val="32"/>
          <w:lang w:val="en-US" w:eastAsia="zh-CN"/>
        </w:rPr>
        <w:t>1013.61</w:t>
      </w:r>
      <w:r>
        <w:rPr>
          <w:rFonts w:hint="eastAsia" w:ascii="仿宋_GB2312" w:hAnsi="仿宋_GB2312" w:eastAsia="仿宋_GB2312" w:cs="仿宋_GB2312"/>
          <w:sz w:val="32"/>
        </w:rPr>
        <w:t>万元, 占</w:t>
      </w:r>
      <w:r>
        <w:rPr>
          <w:rFonts w:hint="eastAsia" w:ascii="仿宋_GB2312" w:hAnsi="仿宋_GB2312" w:eastAsia="仿宋_GB2312" w:cs="仿宋_GB2312"/>
          <w:sz w:val="32"/>
          <w:lang w:val="en-US" w:eastAsia="zh-CN"/>
        </w:rPr>
        <w:t>90.89%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rPr>
      </w:pPr>
      <w:r>
        <w:rPr>
          <w:rFonts w:hint="eastAsia" w:ascii="楷体" w:hAnsi="楷体" w:eastAsia="楷体" w:cs="楷体"/>
          <w:sz w:val="32"/>
          <w:lang w:val="en-US" w:eastAsia="zh-CN"/>
        </w:rPr>
        <w:t>（三）</w:t>
      </w:r>
      <w:r>
        <w:rPr>
          <w:rFonts w:hint="eastAsia" w:ascii="楷体" w:hAnsi="楷体" w:eastAsia="楷体" w:cs="楷体"/>
          <w:sz w:val="32"/>
        </w:rPr>
        <w:t>一般公共预算财政拨款支出决算具体情况</w:t>
      </w:r>
    </w:p>
    <w:p>
      <w:pPr>
        <w:keepNext w:val="0"/>
        <w:keepLines w:val="0"/>
        <w:pageBreakBefore w:val="0"/>
        <w:widowControl w:val="0"/>
        <w:kinsoku/>
        <w:wordWrap/>
        <w:overflowPunct/>
        <w:topLinePunct w:val="0"/>
        <w:autoSpaceDE/>
        <w:autoSpaceDN/>
        <w:bidi w:val="0"/>
        <w:adjustRightInd/>
        <w:snapToGrid/>
        <w:spacing w:line="560" w:lineRule="exact"/>
        <w:ind w:firstLine="806" w:firstLineChars="252"/>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2019年度</w:t>
      </w:r>
      <w:r>
        <w:rPr>
          <w:rFonts w:hint="eastAsia" w:ascii="仿宋_GB2312" w:hAnsi="仿宋_GB2312" w:eastAsia="仿宋_GB2312" w:cs="仿宋_GB2312"/>
          <w:sz w:val="32"/>
          <w:lang w:eastAsia="zh-CN"/>
        </w:rPr>
        <w:t>一般公共预算</w:t>
      </w:r>
      <w:r>
        <w:rPr>
          <w:rFonts w:hint="eastAsia" w:ascii="仿宋_GB2312" w:hAnsi="仿宋_GB2312" w:eastAsia="仿宋_GB2312" w:cs="仿宋_GB2312"/>
          <w:sz w:val="32"/>
        </w:rPr>
        <w:t>财政拨款支出年初预算为</w:t>
      </w:r>
      <w:r>
        <w:rPr>
          <w:rFonts w:hint="eastAsia" w:ascii="仿宋_GB2312" w:hAnsi="仿宋_GB2312" w:eastAsia="仿宋_GB2312" w:cs="仿宋_GB2312"/>
          <w:sz w:val="32"/>
          <w:lang w:val="en-US" w:eastAsia="zh-CN"/>
        </w:rPr>
        <w:t>871.83</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（调减后）</w:t>
      </w:r>
      <w:r>
        <w:rPr>
          <w:rFonts w:hint="eastAsia" w:ascii="仿宋_GB2312" w:hAnsi="仿宋_GB2312" w:eastAsia="仿宋_GB2312" w:cs="仿宋_GB2312"/>
          <w:sz w:val="32"/>
        </w:rPr>
        <w:t>，支出决算为</w:t>
      </w:r>
      <w:r>
        <w:rPr>
          <w:rFonts w:hint="eastAsia" w:ascii="仿宋_GB2312" w:hAnsi="仿宋_GB2312" w:eastAsia="仿宋_GB2312" w:cs="仿宋_GB2312"/>
          <w:sz w:val="32"/>
          <w:lang w:val="en-US" w:eastAsia="zh-CN"/>
        </w:rPr>
        <w:t>1115.24</w:t>
      </w:r>
      <w:r>
        <w:rPr>
          <w:rFonts w:hint="eastAsia" w:ascii="仿宋_GB2312" w:hAnsi="仿宋_GB2312" w:eastAsia="仿宋_GB2312" w:cs="仿宋_GB2312"/>
          <w:sz w:val="32"/>
        </w:rPr>
        <w:t>万元，完成年初预算</w:t>
      </w:r>
      <w:r>
        <w:rPr>
          <w:rFonts w:hint="eastAsia" w:ascii="仿宋_GB2312" w:hAnsi="仿宋_GB2312" w:eastAsia="仿宋_GB2312" w:cs="仿宋_GB2312"/>
          <w:sz w:val="32"/>
          <w:lang w:val="en-US" w:eastAsia="zh-CN"/>
        </w:rPr>
        <w:t>127.92</w:t>
      </w:r>
      <w:r>
        <w:rPr>
          <w:rFonts w:hint="eastAsia" w:ascii="仿宋_GB2312" w:hAnsi="仿宋_GB2312" w:eastAsia="仿宋_GB2312" w:cs="仿宋_GB2312"/>
          <w:sz w:val="32"/>
        </w:rPr>
        <w:t>的%。</w:t>
      </w:r>
      <w:r>
        <w:rPr>
          <w:rFonts w:hint="eastAsia" w:ascii="仿宋_GB2312" w:hAnsi="仿宋_GB2312" w:eastAsia="仿宋_GB2312" w:cs="仿宋_GB2312"/>
          <w:sz w:val="32"/>
          <w:lang w:eastAsia="zh-CN"/>
        </w:rPr>
        <w:t>具体如表</w:t>
      </w:r>
      <w:r>
        <w:rPr>
          <w:rFonts w:hint="eastAsia" w:ascii="仿宋_GB2312" w:hAnsi="仿宋_GB2312" w:eastAsia="仿宋_GB2312" w:cs="仿宋_GB2312"/>
          <w:sz w:val="32"/>
          <w:lang w:val="en-US" w:eastAsia="zh-CN"/>
        </w:rPr>
        <w:t>1所示</w:t>
      </w:r>
      <w:r>
        <w:rPr>
          <w:rFonts w:hint="eastAsia" w:ascii="仿宋_GB2312" w:hAnsi="仿宋_GB2312" w:eastAsia="仿宋_GB2312" w:cs="仿宋_GB2312"/>
          <w:sz w:val="32"/>
        </w:rPr>
        <w:t>：</w:t>
      </w:r>
    </w:p>
    <w:tbl>
      <w:tblPr>
        <w:tblStyle w:val="6"/>
        <w:tblW w:w="9541" w:type="dxa"/>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380"/>
        <w:gridCol w:w="1740"/>
        <w:gridCol w:w="1710"/>
        <w:gridCol w:w="1021"/>
        <w:gridCol w:w="94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序号</w:t>
            </w:r>
          </w:p>
        </w:tc>
        <w:tc>
          <w:tcPr>
            <w:tcW w:w="4830" w:type="dxa"/>
            <w:gridSpan w:val="3"/>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科目名称</w:t>
            </w:r>
          </w:p>
        </w:tc>
        <w:tc>
          <w:tcPr>
            <w:tcW w:w="1021"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年初</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预算</w:t>
            </w:r>
          </w:p>
        </w:tc>
        <w:tc>
          <w:tcPr>
            <w:tcW w:w="945"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支出</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决算</w:t>
            </w:r>
          </w:p>
        </w:tc>
        <w:tc>
          <w:tcPr>
            <w:tcW w:w="199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主要用途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4"/>
                <w:szCs w:val="24"/>
                <w:vertAlign w:val="baseline"/>
              </w:rPr>
            </w:pPr>
          </w:p>
        </w:tc>
        <w:tc>
          <w:tcPr>
            <w:tcW w:w="138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类</w:t>
            </w:r>
          </w:p>
        </w:tc>
        <w:tc>
          <w:tcPr>
            <w:tcW w:w="174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款</w:t>
            </w:r>
          </w:p>
        </w:tc>
        <w:tc>
          <w:tcPr>
            <w:tcW w:w="171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项</w:t>
            </w:r>
          </w:p>
        </w:tc>
        <w:tc>
          <w:tcPr>
            <w:tcW w:w="1021" w:type="dxa"/>
            <w:vMerge w:val="continu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rPr>
            </w:pPr>
          </w:p>
        </w:tc>
        <w:tc>
          <w:tcPr>
            <w:tcW w:w="945" w:type="dxa"/>
            <w:vMerge w:val="continu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rPr>
            </w:pPr>
          </w:p>
        </w:tc>
        <w:tc>
          <w:tcPr>
            <w:tcW w:w="1995" w:type="dxa"/>
            <w:vMerge w:val="continu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38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一般公共服务支出</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政府办公厅（室及相关机构事务）</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行政运行</w:t>
            </w:r>
          </w:p>
        </w:tc>
        <w:tc>
          <w:tcPr>
            <w:tcW w:w="10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rPr>
            </w:pP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2.40</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日常运转经费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380" w:type="dxa"/>
            <w:vMerge w:val="continue"/>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vertAlign w:val="baseline"/>
              </w:rPr>
            </w:pP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组织事务</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其他组织事务支出</w:t>
            </w:r>
          </w:p>
        </w:tc>
        <w:tc>
          <w:tcPr>
            <w:tcW w:w="10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rPr>
            </w:pP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1.98</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人才引进人员生活补贴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380" w:type="dxa"/>
            <w:vMerge w:val="continue"/>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vertAlign w:val="baseline"/>
              </w:rPr>
            </w:pP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其他一般公共服务支出</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其他一般公共服务支出</w:t>
            </w:r>
          </w:p>
        </w:tc>
        <w:tc>
          <w:tcPr>
            <w:tcW w:w="10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rPr>
            </w:pP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0.75</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日常运转经费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社会和保障就业支出</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行政事业单位离退休</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归口管理的行政单位离退休</w:t>
            </w:r>
          </w:p>
        </w:tc>
        <w:tc>
          <w:tcPr>
            <w:tcW w:w="10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7.67</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7.67</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退休人员费用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卫生健康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支出</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行政事业单位医疗</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行政单位医疗</w:t>
            </w:r>
          </w:p>
        </w:tc>
        <w:tc>
          <w:tcPr>
            <w:tcW w:w="10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35.01</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35.01</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干职工基本医疗保险、医疗补助等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资源勘探信息等支出</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其他资源勘探信息等支出</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其他资源勘探信息等支出</w:t>
            </w:r>
          </w:p>
        </w:tc>
        <w:tc>
          <w:tcPr>
            <w:tcW w:w="10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rPr>
            </w:pP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18.00</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拨付安化县应急管理局专项经费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住房保障</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支出</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住房改革支出</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住房公积金</w:t>
            </w:r>
          </w:p>
        </w:tc>
        <w:tc>
          <w:tcPr>
            <w:tcW w:w="10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35.82</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35.82</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干职工住房公积金缴存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138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灾害防治及应急管理支出</w:t>
            </w:r>
          </w:p>
        </w:tc>
        <w:tc>
          <w:tcPr>
            <w:tcW w:w="174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应急事务管理</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行政运行</w:t>
            </w:r>
          </w:p>
        </w:tc>
        <w:tc>
          <w:tcPr>
            <w:tcW w:w="10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483.93</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550.77</w:t>
            </w:r>
          </w:p>
        </w:tc>
        <w:tc>
          <w:tcPr>
            <w:tcW w:w="199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局机关工资福利支出、日常运行经费、各类专项业务经费、精准扶贫支出等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rPr>
            </w:pPr>
          </w:p>
        </w:tc>
        <w:tc>
          <w:tcPr>
            <w:tcW w:w="17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一般行政事务管理</w:t>
            </w:r>
          </w:p>
        </w:tc>
        <w:tc>
          <w:tcPr>
            <w:tcW w:w="10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rPr>
            </w:pP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51.00</w:t>
            </w:r>
          </w:p>
        </w:tc>
        <w:tc>
          <w:tcPr>
            <w:tcW w:w="19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rPr>
            </w:pPr>
          </w:p>
        </w:tc>
        <w:tc>
          <w:tcPr>
            <w:tcW w:w="17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安全监管</w:t>
            </w:r>
          </w:p>
        </w:tc>
        <w:tc>
          <w:tcPr>
            <w:tcW w:w="10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309.4</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350.23</w:t>
            </w:r>
          </w:p>
        </w:tc>
        <w:tc>
          <w:tcPr>
            <w:tcW w:w="19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rPr>
            </w:pPr>
          </w:p>
        </w:tc>
        <w:tc>
          <w:tcPr>
            <w:tcW w:w="17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其他应急管理支出</w:t>
            </w:r>
          </w:p>
        </w:tc>
        <w:tc>
          <w:tcPr>
            <w:tcW w:w="10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rPr>
            </w:pP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61.61</w:t>
            </w:r>
          </w:p>
        </w:tc>
        <w:tc>
          <w:tcPr>
            <w:tcW w:w="19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（表</w:t>
      </w:r>
      <w:r>
        <w:rPr>
          <w:rFonts w:hint="eastAsia" w:ascii="仿宋_GB2312" w:hAnsi="仿宋_GB2312" w:eastAsia="仿宋_GB2312" w:cs="仿宋_GB2312"/>
          <w:sz w:val="32"/>
          <w:lang w:val="en-US" w:eastAsia="zh-CN"/>
        </w:rPr>
        <w:t>1，单位：万元</w:t>
      </w:r>
      <w:r>
        <w:rPr>
          <w:rFonts w:hint="eastAsia" w:ascii="仿宋_GB2312" w:hAnsi="仿宋_GB2312" w:eastAsia="仿宋_GB2312" w:cs="仿宋_GB2312"/>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lang w:eastAsia="zh-CN"/>
        </w:rPr>
        <w:t>益阳市应急管理局（机关）</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2019年度一般公共预算财政拨款基本支出</w:t>
      </w:r>
      <w:r>
        <w:rPr>
          <w:rFonts w:hint="eastAsia" w:ascii="仿宋_GB2312" w:hAnsi="仿宋_GB2312" w:eastAsia="仿宋_GB2312" w:cs="仿宋_GB2312"/>
          <w:sz w:val="32"/>
          <w:szCs w:val="32"/>
          <w:lang w:val="en-US" w:eastAsia="zh-CN"/>
        </w:rPr>
        <w:t>780.87</w:t>
      </w:r>
      <w:r>
        <w:rPr>
          <w:rFonts w:hint="eastAsia" w:ascii="仿宋_GB2312" w:hAnsi="仿宋_GB2312" w:eastAsia="仿宋_GB2312" w:cs="仿宋_GB2312"/>
          <w:sz w:val="32"/>
          <w:szCs w:val="32"/>
        </w:rPr>
        <w:t>万元，其中人员经费支出</w:t>
      </w:r>
      <w:r>
        <w:rPr>
          <w:rFonts w:hint="eastAsia" w:ascii="仿宋_GB2312" w:hAnsi="仿宋_GB2312" w:eastAsia="仿宋_GB2312" w:cs="仿宋_GB2312"/>
          <w:sz w:val="32"/>
          <w:szCs w:val="32"/>
          <w:lang w:val="en-US" w:eastAsia="zh-CN"/>
        </w:rPr>
        <w:t>645.63</w:t>
      </w:r>
      <w:r>
        <w:rPr>
          <w:rFonts w:hint="eastAsia" w:ascii="仿宋_GB2312" w:hAnsi="仿宋_GB2312" w:eastAsia="仿宋_GB2312" w:cs="仿宋_GB2312"/>
          <w:sz w:val="32"/>
          <w:szCs w:val="32"/>
        </w:rPr>
        <w:t>万元，主要包括：</w:t>
      </w:r>
      <w:r>
        <w:rPr>
          <w:rFonts w:hint="eastAsia" w:ascii="仿宋_GB2312" w:hAnsi="仿宋" w:eastAsia="仿宋_GB2312"/>
          <w:sz w:val="32"/>
          <w:szCs w:val="32"/>
        </w:rPr>
        <w:t>基本工资、津补贴、奖金、绩效工资、</w:t>
      </w:r>
      <w:r>
        <w:rPr>
          <w:rFonts w:hint="eastAsia" w:ascii="仿宋_GB2312" w:hAnsi="仿宋" w:eastAsia="仿宋_GB2312"/>
          <w:sz w:val="32"/>
          <w:szCs w:val="32"/>
          <w:lang w:eastAsia="zh-CN"/>
        </w:rPr>
        <w:t>职工养老保险、职工基本医疗保险、公务员医疗补助、伙食补助费、</w:t>
      </w:r>
      <w:r>
        <w:rPr>
          <w:rFonts w:hint="eastAsia" w:ascii="仿宋_GB2312" w:hAnsi="仿宋" w:eastAsia="仿宋_GB2312"/>
          <w:sz w:val="32"/>
          <w:szCs w:val="32"/>
        </w:rPr>
        <w:t>住房公积金、</w:t>
      </w:r>
      <w:r>
        <w:rPr>
          <w:rFonts w:hint="eastAsia" w:ascii="仿宋_GB2312" w:hAnsi="仿宋" w:eastAsia="仿宋_GB2312"/>
          <w:sz w:val="32"/>
          <w:szCs w:val="32"/>
          <w:lang w:eastAsia="zh-CN"/>
        </w:rPr>
        <w:t>临聘人员工资保险等</w:t>
      </w:r>
      <w:r>
        <w:rPr>
          <w:rFonts w:hint="eastAsia" w:ascii="仿宋_GB2312" w:hAnsi="仿宋" w:eastAsia="仿宋_GB2312"/>
          <w:sz w:val="32"/>
          <w:szCs w:val="32"/>
        </w:rPr>
        <w:t>、退休费、生活补助等</w:t>
      </w:r>
      <w:r>
        <w:rPr>
          <w:rFonts w:hint="eastAsia" w:ascii="仿宋_GB2312" w:hAnsi="仿宋_GB2312" w:eastAsia="仿宋_GB2312" w:cs="仿宋_GB2312"/>
          <w:sz w:val="32"/>
          <w:szCs w:val="32"/>
        </w:rPr>
        <w:t>；公用经费支出</w:t>
      </w:r>
      <w:r>
        <w:rPr>
          <w:rFonts w:hint="eastAsia" w:ascii="仿宋_GB2312" w:hAnsi="仿宋_GB2312" w:eastAsia="仿宋_GB2312" w:cs="仿宋_GB2312"/>
          <w:sz w:val="32"/>
          <w:szCs w:val="32"/>
          <w:lang w:val="en-US" w:eastAsia="zh-CN"/>
        </w:rPr>
        <w:t>135.24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主要包括：办公费、印刷费</w:t>
      </w:r>
      <w:r>
        <w:rPr>
          <w:rFonts w:hint="eastAsia" w:ascii="仿宋_GB2312" w:hAnsi="仿宋_GB2312" w:eastAsia="仿宋_GB2312" w:cs="仿宋_GB2312"/>
          <w:sz w:val="32"/>
          <w:szCs w:val="32"/>
          <w:lang w:eastAsia="zh-CN"/>
        </w:rPr>
        <w:t>、电费、物业管理费、差旅费、维修（护）费、工会经费、公务交通补贴、其他商品和服务支出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黑体" w:hAnsi="黑体" w:eastAsia="黑体" w:cs="黑体"/>
          <w:sz w:val="32"/>
        </w:rPr>
      </w:pPr>
      <w:r>
        <w:rPr>
          <w:rFonts w:ascii="黑体" w:hAnsi="黑体" w:eastAsia="黑体" w:cs="黑体"/>
          <w:sz w:val="32"/>
        </w:rPr>
        <w:t>七、关于</w:t>
      </w:r>
      <w:r>
        <w:rPr>
          <w:rFonts w:hint="eastAsia" w:ascii="黑体" w:hAnsi="黑体" w:eastAsia="黑体" w:cs="黑体"/>
          <w:sz w:val="32"/>
          <w:lang w:eastAsia="zh-CN"/>
        </w:rPr>
        <w:t>益阳市应急管理局（机关）</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年度政府性基金预算财政拨款支出决算情况说明</w:t>
      </w:r>
    </w:p>
    <w:p>
      <w:pPr>
        <w:spacing w:line="570" w:lineRule="exact"/>
        <w:ind w:firstLine="640" w:firstLineChars="200"/>
        <w:rPr>
          <w:rFonts w:ascii="仿宋" w:hAnsi="仿宋" w:eastAsia="仿宋" w:cs="仿宋"/>
          <w:sz w:val="32"/>
        </w:rPr>
      </w:pPr>
      <w:r>
        <w:rPr>
          <w:rFonts w:hint="eastAsia" w:ascii="仿宋_GB2312" w:hAnsi="仿宋_GB2312" w:eastAsia="仿宋_GB2312" w:cs="仿宋_GB2312"/>
          <w:sz w:val="32"/>
        </w:rPr>
        <w:t>无。</w:t>
      </w:r>
      <w:r>
        <w:rPr>
          <w:rFonts w:hint="eastAsia" w:ascii="仿宋_GB2312" w:hAnsi="仿宋_GB2312" w:eastAsia="仿宋_GB2312" w:cs="仿宋_GB2312"/>
          <w:sz w:val="32"/>
          <w:lang w:eastAsia="zh-CN"/>
        </w:rPr>
        <w:t>益阳市应急管理局（机关）</w:t>
      </w:r>
      <w:r>
        <w:rPr>
          <w:rFonts w:hint="eastAsia" w:ascii="仿宋_GB2312" w:hAnsi="仿宋_GB2312" w:eastAsia="仿宋_GB2312" w:cs="仿宋_GB2312"/>
          <w:sz w:val="32"/>
        </w:rPr>
        <w:t>没有政府性基金收入，也没有政府性基金支出。</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lang w:eastAsia="zh-CN"/>
        </w:rPr>
        <w:t>益阳市应急管理局（机关）</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年度一般公共预算财政拨款“三公”经费支出决算情况说明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楷体" w:hAnsi="楷体" w:eastAsia="楷体" w:cs="楷体"/>
          <w:sz w:val="32"/>
        </w:rPr>
      </w:pPr>
      <w:r>
        <w:rPr>
          <w:rFonts w:ascii="楷体" w:hAnsi="楷体" w:eastAsia="楷体" w:cs="楷体"/>
          <w:sz w:val="32"/>
        </w:rPr>
        <w:t>（一）“三公”经费财政拨款支出决算总体情况说明。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 年度“三公”经费财政拨款支出预算为</w:t>
      </w:r>
      <w:r>
        <w:rPr>
          <w:rFonts w:hint="eastAsia" w:ascii="仿宋_GB2312" w:hAnsi="仿宋_GB2312" w:eastAsia="仿宋_GB2312" w:cs="仿宋_GB2312"/>
          <w:sz w:val="32"/>
          <w:szCs w:val="32"/>
          <w:lang w:val="en-US" w:eastAsia="zh-CN"/>
        </w:rPr>
        <w:t>114.00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67.05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58.82</w:t>
      </w:r>
      <w:r>
        <w:rPr>
          <w:rFonts w:hint="eastAsia" w:ascii="仿宋_GB2312" w:hAnsi="仿宋_GB2312" w:eastAsia="仿宋_GB2312" w:cs="仿宋_GB2312"/>
          <w:sz w:val="32"/>
          <w:szCs w:val="32"/>
        </w:rPr>
        <w:t>%，其中：公务用车购置及运行费支出决算为</w:t>
      </w:r>
      <w:r>
        <w:rPr>
          <w:rFonts w:hint="eastAsia" w:ascii="仿宋_GB2312" w:hAnsi="仿宋_GB2312" w:eastAsia="仿宋_GB2312" w:cs="仿宋_GB2312"/>
          <w:sz w:val="32"/>
          <w:szCs w:val="32"/>
          <w:lang w:val="en-US" w:eastAsia="zh-CN"/>
        </w:rPr>
        <w:t>62.55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81.23</w:t>
      </w:r>
      <w:r>
        <w:rPr>
          <w:rFonts w:hint="eastAsia" w:ascii="仿宋_GB2312" w:hAnsi="仿宋_GB2312" w:eastAsia="仿宋_GB2312" w:cs="仿宋_GB2312"/>
          <w:sz w:val="32"/>
          <w:szCs w:val="32"/>
        </w:rPr>
        <w:t>%；公务接待费支出决算为</w:t>
      </w:r>
      <w:r>
        <w:rPr>
          <w:rFonts w:hint="eastAsia" w:ascii="仿宋_GB2312" w:hAnsi="仿宋_GB2312" w:eastAsia="仿宋_GB2312" w:cs="仿宋_GB2312"/>
          <w:sz w:val="32"/>
          <w:szCs w:val="32"/>
          <w:lang w:val="en-US" w:eastAsia="zh-CN"/>
        </w:rPr>
        <w:t>4.50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因公出国（境）费。2019 年度“三公”经费支出决算数小于预算数的主要原因：</w:t>
      </w:r>
      <w:r>
        <w:rPr>
          <w:rFonts w:hint="eastAsia" w:ascii="仿宋_GB2312" w:hAnsi="仿宋_GB2312" w:eastAsia="仿宋_GB2312" w:cs="仿宋_GB2312"/>
          <w:sz w:val="32"/>
        </w:rPr>
        <w:t>认真执行《益阳市党政机关国内公务接待管理实施细则》和《益阳市市直机关差旅费管理办法》等制度规定，特别是对公务接待和公务用车严格管理，控制范围和开支标准。</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楷体" w:hAnsi="楷体" w:eastAsia="楷体" w:cs="楷体"/>
          <w:sz w:val="32"/>
        </w:rPr>
      </w:pPr>
      <w:r>
        <w:rPr>
          <w:rFonts w:ascii="楷体" w:hAnsi="楷体" w:eastAsia="楷体" w:cs="楷体"/>
          <w:sz w:val="32"/>
        </w:rPr>
        <w:t>（二）“三公”经费财政拨款支出决算具体情况说明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ascii="楷体" w:hAnsi="楷体" w:eastAsia="楷体" w:cs="楷体"/>
          <w:sz w:val="32"/>
        </w:rPr>
        <w:t xml:space="preserve"> </w:t>
      </w:r>
      <w:r>
        <w:rPr>
          <w:rFonts w:hint="eastAsia" w:ascii="仿宋_GB2312" w:hAnsi="仿宋_GB2312" w:eastAsia="仿宋_GB2312" w:cs="仿宋_GB2312"/>
          <w:sz w:val="32"/>
          <w:szCs w:val="32"/>
        </w:rPr>
        <w:t>2019 年度“三公”经费财政拨款支出决算为</w:t>
      </w:r>
      <w:r>
        <w:rPr>
          <w:rFonts w:hint="eastAsia" w:ascii="仿宋_GB2312" w:hAnsi="仿宋_GB2312" w:eastAsia="仿宋_GB2312" w:cs="仿宋_GB2312"/>
          <w:sz w:val="32"/>
          <w:szCs w:val="32"/>
          <w:lang w:val="en-US" w:eastAsia="zh-CN"/>
        </w:rPr>
        <w:t>67.05</w:t>
      </w:r>
      <w:r>
        <w:rPr>
          <w:rFonts w:hint="eastAsia" w:ascii="仿宋_GB2312" w:hAnsi="仿宋_GB2312" w:eastAsia="仿宋_GB2312" w:cs="仿宋_GB2312"/>
          <w:sz w:val="32"/>
          <w:szCs w:val="32"/>
        </w:rPr>
        <w:t>万元万元，其中：公务用车购置及运行费支出决算为</w:t>
      </w:r>
      <w:r>
        <w:rPr>
          <w:rFonts w:hint="eastAsia" w:ascii="仿宋_GB2312" w:hAnsi="仿宋_GB2312" w:eastAsia="仿宋_GB2312" w:cs="仿宋_GB2312"/>
          <w:sz w:val="32"/>
          <w:szCs w:val="32"/>
          <w:lang w:val="en-US" w:eastAsia="zh-CN"/>
        </w:rPr>
        <w:t>62.55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93.29</w:t>
      </w:r>
      <w:r>
        <w:rPr>
          <w:rFonts w:hint="eastAsia" w:ascii="仿宋_GB2312" w:hAnsi="仿宋_GB2312" w:eastAsia="仿宋_GB2312" w:cs="仿宋_GB2312"/>
          <w:sz w:val="32"/>
          <w:szCs w:val="32"/>
        </w:rPr>
        <w:t>%；公务接待费支出决算为</w:t>
      </w:r>
      <w:r>
        <w:rPr>
          <w:rFonts w:hint="eastAsia" w:ascii="仿宋_GB2312" w:hAnsi="仿宋_GB2312" w:eastAsia="仿宋_GB2312" w:cs="仿宋_GB2312"/>
          <w:sz w:val="32"/>
          <w:szCs w:val="32"/>
          <w:lang w:val="en-US" w:eastAsia="zh-CN"/>
        </w:rPr>
        <w:t>4.50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6.71</w:t>
      </w:r>
      <w:r>
        <w:rPr>
          <w:rFonts w:hint="eastAsia" w:ascii="仿宋_GB2312" w:hAnsi="仿宋_GB2312" w:eastAsia="仿宋_GB2312" w:cs="仿宋_GB2312"/>
          <w:sz w:val="32"/>
          <w:szCs w:val="32"/>
        </w:rPr>
        <w:t>%。2019 年度“三公”经费支出决算数大于上年决算数的</w:t>
      </w:r>
      <w:r>
        <w:rPr>
          <w:rFonts w:hint="eastAsia" w:ascii="仿宋_GB2312" w:hAnsi="仿宋_GB2312" w:eastAsia="仿宋_GB2312" w:cs="仿宋_GB2312"/>
          <w:sz w:val="32"/>
          <w:szCs w:val="32"/>
          <w:lang w:eastAsia="zh-CN"/>
        </w:rPr>
        <w:t>主要原因是因机构改革，我单位职能增加，为更好地满足应急工作的需要，经湖南省机关事务管理局批准，局机关购置了</w:t>
      </w:r>
      <w:r>
        <w:rPr>
          <w:rFonts w:hint="eastAsia" w:ascii="仿宋_GB2312" w:hAnsi="仿宋_GB2312" w:eastAsia="仿宋_GB2312" w:cs="仿宋_GB2312"/>
          <w:sz w:val="32"/>
          <w:szCs w:val="32"/>
          <w:lang w:val="en-US" w:eastAsia="zh-CN"/>
        </w:rPr>
        <w:t>1台公务用车，共计26.65万元（含车辆购置税）。</w:t>
      </w:r>
    </w:p>
    <w:p>
      <w:pPr>
        <w:ind w:firstLine="640"/>
        <w:jc w:val="left"/>
        <w:rPr>
          <w:rFonts w:ascii="楷体" w:hAnsi="楷体" w:eastAsia="楷体" w:cs="楷体"/>
          <w:sz w:val="32"/>
        </w:rPr>
      </w:pPr>
      <w:r>
        <w:rPr>
          <w:rFonts w:ascii="楷体" w:hAnsi="楷体" w:eastAsia="楷体" w:cs="楷体"/>
          <w:sz w:val="32"/>
        </w:rPr>
        <w:t>1、因公出国（境）情况说明</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因公出国（境）团组数</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个，</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人，</w:t>
      </w:r>
      <w:r>
        <w:rPr>
          <w:rFonts w:hint="eastAsia" w:ascii="仿宋_GB2312" w:hAnsi="仿宋_GB2312" w:eastAsia="仿宋_GB2312" w:cs="仿宋_GB2312"/>
          <w:sz w:val="32"/>
          <w:lang w:eastAsia="zh-CN"/>
        </w:rPr>
        <w:t>无</w:t>
      </w:r>
      <w:r>
        <w:rPr>
          <w:rFonts w:hint="eastAsia" w:ascii="仿宋_GB2312" w:hAnsi="仿宋_GB2312" w:eastAsia="仿宋_GB2312" w:cs="仿宋_GB2312"/>
          <w:sz w:val="32"/>
        </w:rPr>
        <w:t>因公出国（境）的开支内容</w:t>
      </w:r>
      <w:r>
        <w:rPr>
          <w:rFonts w:hint="eastAsia" w:ascii="仿宋_GB2312" w:hAnsi="仿宋_GB2312" w:eastAsia="仿宋_GB2312" w:cs="仿宋_GB2312"/>
          <w:sz w:val="32"/>
          <w:lang w:eastAsia="zh-CN"/>
        </w:rPr>
        <w:t>。</w:t>
      </w:r>
    </w:p>
    <w:p>
      <w:pPr>
        <w:ind w:firstLine="640"/>
        <w:jc w:val="left"/>
        <w:rPr>
          <w:rFonts w:ascii="楷体" w:hAnsi="楷体" w:eastAsia="楷体" w:cs="楷体"/>
          <w:sz w:val="32"/>
        </w:rPr>
      </w:pPr>
      <w:r>
        <w:rPr>
          <w:rFonts w:ascii="楷体" w:hAnsi="楷体" w:eastAsia="楷体" w:cs="楷体"/>
          <w:sz w:val="32"/>
        </w:rPr>
        <w:t>2、公务用车购置及运行经费情况说明</w:t>
      </w:r>
    </w:p>
    <w:p>
      <w:pPr>
        <w:ind w:firstLine="64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rPr>
        <w:t>公务用车购置支出</w:t>
      </w:r>
      <w:r>
        <w:rPr>
          <w:rFonts w:hint="eastAsia" w:ascii="仿宋_GB2312" w:hAnsi="仿宋_GB2312" w:eastAsia="仿宋_GB2312" w:cs="仿宋_GB2312"/>
          <w:sz w:val="32"/>
          <w:lang w:val="en-US" w:eastAsia="zh-CN"/>
        </w:rPr>
        <w:t>26.65</w:t>
      </w:r>
      <w:r>
        <w:rPr>
          <w:rFonts w:hint="eastAsia" w:ascii="仿宋_GB2312" w:hAnsi="仿宋_GB2312" w:eastAsia="仿宋_GB2312" w:cs="仿宋_GB2312"/>
          <w:sz w:val="32"/>
        </w:rPr>
        <w:t>万元，购置数</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台，保有量</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台</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运行经费支出</w:t>
      </w:r>
      <w:r>
        <w:rPr>
          <w:rFonts w:hint="eastAsia" w:ascii="仿宋_GB2312" w:hAnsi="仿宋_GB2312" w:eastAsia="仿宋_GB2312" w:cs="仿宋_GB2312"/>
          <w:sz w:val="32"/>
          <w:lang w:val="en-US" w:eastAsia="zh-CN"/>
        </w:rPr>
        <w:t>35.90</w:t>
      </w:r>
      <w:r>
        <w:rPr>
          <w:rFonts w:hint="eastAsia" w:ascii="仿宋_GB2312" w:hAnsi="仿宋_GB2312" w:eastAsia="仿宋_GB2312" w:cs="仿宋_GB2312"/>
          <w:sz w:val="32"/>
        </w:rPr>
        <w:t>万元，主要用于燃油费、维修费、过桥过路费、保险</w:t>
      </w:r>
      <w:r>
        <w:rPr>
          <w:rFonts w:hint="eastAsia" w:ascii="仿宋_GB2312" w:hAnsi="仿宋_GB2312" w:eastAsia="仿宋_GB2312" w:cs="仿宋_GB2312"/>
          <w:sz w:val="32"/>
          <w:lang w:eastAsia="zh-CN"/>
        </w:rPr>
        <w:t>费</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美容保养费、</w:t>
      </w:r>
      <w:r>
        <w:rPr>
          <w:rFonts w:hint="eastAsia" w:ascii="仿宋_GB2312" w:hAnsi="仿宋_GB2312" w:eastAsia="仿宋_GB2312" w:cs="仿宋_GB2312"/>
          <w:sz w:val="32"/>
        </w:rPr>
        <w:t>司机公里补助等</w:t>
      </w:r>
      <w:r>
        <w:rPr>
          <w:rFonts w:hint="eastAsia" w:ascii="仿宋_GB2312" w:hAnsi="仿宋_GB2312" w:eastAsia="仿宋_GB2312" w:cs="仿宋_GB2312"/>
          <w:sz w:val="32"/>
          <w:lang w:eastAsia="zh-CN"/>
        </w:rPr>
        <w:t>。</w:t>
      </w:r>
    </w:p>
    <w:p>
      <w:pPr>
        <w:ind w:firstLine="640"/>
        <w:jc w:val="left"/>
        <w:rPr>
          <w:rFonts w:ascii="楷体" w:hAnsi="楷体" w:eastAsia="楷体" w:cs="楷体"/>
          <w:sz w:val="32"/>
        </w:rPr>
      </w:pPr>
      <w:r>
        <w:rPr>
          <w:rFonts w:ascii="楷体" w:hAnsi="楷体" w:eastAsia="楷体" w:cs="楷体"/>
          <w:sz w:val="32"/>
        </w:rPr>
        <w:t>3、公务接待情况说明</w:t>
      </w:r>
    </w:p>
    <w:p>
      <w:pPr>
        <w:ind w:firstLine="64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rPr>
        <w:t>公务接待支出</w:t>
      </w:r>
      <w:r>
        <w:rPr>
          <w:rFonts w:hint="eastAsia" w:ascii="仿宋_GB2312" w:hAnsi="仿宋_GB2312" w:eastAsia="仿宋_GB2312" w:cs="仿宋_GB2312"/>
          <w:sz w:val="32"/>
          <w:lang w:val="en-US" w:eastAsia="zh-CN"/>
        </w:rPr>
        <w:t>4.50</w:t>
      </w:r>
      <w:r>
        <w:rPr>
          <w:rFonts w:hint="eastAsia" w:ascii="仿宋_GB2312" w:hAnsi="仿宋_GB2312" w:eastAsia="仿宋_GB2312" w:cs="仿宋_GB2312"/>
          <w:sz w:val="32"/>
        </w:rPr>
        <w:t>万元，国内公务接待</w:t>
      </w:r>
      <w:r>
        <w:rPr>
          <w:rFonts w:hint="eastAsia" w:ascii="仿宋_GB2312" w:hAnsi="仿宋_GB2312" w:eastAsia="仿宋_GB2312" w:cs="仿宋_GB2312"/>
          <w:sz w:val="32"/>
          <w:lang w:val="en-US" w:eastAsia="zh-CN"/>
        </w:rPr>
        <w:t>41</w:t>
      </w:r>
      <w:r>
        <w:rPr>
          <w:rFonts w:hint="eastAsia" w:ascii="仿宋_GB2312" w:hAnsi="仿宋_GB2312" w:eastAsia="仿宋_GB2312" w:cs="仿宋_GB2312"/>
          <w:sz w:val="32"/>
        </w:rPr>
        <w:t>批次，接待</w:t>
      </w:r>
      <w:r>
        <w:rPr>
          <w:rFonts w:hint="eastAsia" w:ascii="仿宋_GB2312" w:hAnsi="仿宋_GB2312" w:eastAsia="仿宋_GB2312" w:cs="仿宋_GB2312"/>
          <w:sz w:val="32"/>
          <w:lang w:val="en-US" w:eastAsia="zh-CN"/>
        </w:rPr>
        <w:t>465</w:t>
      </w:r>
      <w:r>
        <w:rPr>
          <w:rFonts w:hint="eastAsia" w:ascii="仿宋_GB2312" w:hAnsi="仿宋_GB2312" w:eastAsia="仿宋_GB2312" w:cs="仿宋_GB2312"/>
          <w:sz w:val="32"/>
        </w:rPr>
        <w:t>人。接待支出主要用于接待对象工作餐和部分住宿支出</w:t>
      </w:r>
      <w:r>
        <w:rPr>
          <w:rFonts w:hint="eastAsia" w:ascii="仿宋_GB2312" w:hAnsi="仿宋_GB2312" w:eastAsia="仿宋_GB2312" w:cs="仿宋_GB2312"/>
          <w:sz w:val="32"/>
          <w:lang w:eastAsia="zh-CN"/>
        </w:rPr>
        <w:t>。</w:t>
      </w:r>
    </w:p>
    <w:p>
      <w:pPr>
        <w:ind w:firstLine="64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 2019 年度预算绩效情况说明</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一是在编制2019年部门预算的同时</w:t>
      </w:r>
      <w:r>
        <w:rPr>
          <w:rFonts w:hint="eastAsia" w:ascii="仿宋_GB2312" w:hAnsi="仿宋_GB2312" w:eastAsia="仿宋_GB2312" w:cs="仿宋_GB2312"/>
          <w:color w:val="auto"/>
          <w:sz w:val="32"/>
          <w:szCs w:val="32"/>
          <w:lang w:eastAsia="zh-CN"/>
        </w:rPr>
        <w:t>，益阳市应急管理（机关）同步</w:t>
      </w:r>
      <w:r>
        <w:rPr>
          <w:rFonts w:hint="eastAsia" w:ascii="仿宋_GB2312" w:hAnsi="仿宋_GB2312" w:eastAsia="仿宋_GB2312" w:cs="仿宋_GB2312"/>
          <w:color w:val="auto"/>
          <w:sz w:val="32"/>
          <w:szCs w:val="32"/>
        </w:rPr>
        <w:t>编制填列了部门整体支出绩效目标表和安全生产专项资金绩效目标表,确定2019年度部门整体绩效目标和安全生产专项资金支出的绩效目标。</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二是为进一步规范财政资金管理，强化绩效和责任意识，切实提高财政资金使用效益，根据《预算法》关于“各级政府、各部门、各单位应当对专项资金情况开展绩效评价”的规定，按照《</w:t>
      </w:r>
      <w:r>
        <w:rPr>
          <w:rFonts w:ascii="仿宋_GB2312" w:hAnsi="宋体" w:eastAsia="仿宋_GB2312" w:cs="仿宋_GB2312"/>
          <w:b w:val="0"/>
          <w:i w:val="0"/>
          <w:caps w:val="0"/>
          <w:color w:val="000000"/>
          <w:spacing w:val="0"/>
          <w:sz w:val="32"/>
          <w:szCs w:val="32"/>
        </w:rPr>
        <w:t>益阳市财政局关于开展</w:t>
      </w:r>
      <w:r>
        <w:rPr>
          <w:rFonts w:hint="eastAsia" w:ascii="仿宋_GB2312" w:hAnsi="宋体" w:eastAsia="仿宋_GB2312" w:cs="仿宋_GB2312"/>
          <w:b w:val="0"/>
          <w:i w:val="0"/>
          <w:caps w:val="0"/>
          <w:color w:val="000000"/>
          <w:spacing w:val="0"/>
          <w:sz w:val="32"/>
          <w:szCs w:val="32"/>
        </w:rPr>
        <w:t>2019年度预算绩效自评工作的通知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益</w:t>
      </w:r>
      <w:r>
        <w:rPr>
          <w:rFonts w:hint="eastAsia" w:ascii="仿宋_GB2312" w:hAnsi="仿宋_GB2312" w:eastAsia="仿宋_GB2312" w:cs="仿宋_GB2312"/>
          <w:color w:val="auto"/>
          <w:sz w:val="32"/>
          <w:szCs w:val="32"/>
        </w:rPr>
        <w:t>财绩〔</w:t>
      </w:r>
      <w:r>
        <w:rPr>
          <w:rFonts w:hint="eastAsia" w:ascii="仿宋_GB2312" w:hAnsi="仿宋_GB2312" w:eastAsia="仿宋_GB2312" w:cs="仿宋_GB2312"/>
          <w:color w:val="auto"/>
          <w:sz w:val="32"/>
          <w:szCs w:val="32"/>
          <w:lang w:val="en-US" w:eastAsia="zh-CN"/>
        </w:rPr>
        <w:t>2020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70</w:t>
      </w:r>
      <w:r>
        <w:rPr>
          <w:rFonts w:hint="eastAsia" w:ascii="仿宋_GB2312" w:hAnsi="仿宋_GB2312" w:eastAsia="仿宋_GB2312" w:cs="仿宋_GB2312"/>
          <w:color w:val="auto"/>
          <w:sz w:val="32"/>
          <w:szCs w:val="32"/>
        </w:rPr>
        <w:t>号）文件的要求，</w:t>
      </w:r>
      <w:r>
        <w:rPr>
          <w:rFonts w:hint="eastAsia" w:ascii="仿宋_GB2312" w:hAnsi="仿宋_GB2312" w:eastAsia="仿宋_GB2312" w:cs="仿宋_GB2312"/>
          <w:color w:val="auto"/>
          <w:sz w:val="32"/>
          <w:szCs w:val="32"/>
          <w:lang w:eastAsia="zh-CN"/>
        </w:rPr>
        <w:t>积极</w:t>
      </w:r>
      <w:r>
        <w:rPr>
          <w:rFonts w:hint="eastAsia" w:ascii="仿宋_GB2312" w:hAnsi="仿宋_GB2312" w:eastAsia="仿宋_GB2312" w:cs="仿宋_GB2312"/>
          <w:color w:val="auto"/>
          <w:sz w:val="32"/>
          <w:szCs w:val="32"/>
        </w:rPr>
        <w:t>开展201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年度部门整体支出绩效自评</w:t>
      </w:r>
      <w:r>
        <w:rPr>
          <w:rFonts w:hint="eastAsia" w:ascii="仿宋_GB2312" w:hAnsi="仿宋_GB2312" w:eastAsia="仿宋_GB2312" w:cs="仿宋_GB2312"/>
          <w:color w:val="auto"/>
          <w:sz w:val="32"/>
          <w:szCs w:val="32"/>
          <w:lang w:eastAsia="zh-CN"/>
        </w:rPr>
        <w:t>，并在益阳市应急管理局门户网站上进行了公示公开。</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2019年部门整体支出</w:t>
      </w:r>
      <w:r>
        <w:rPr>
          <w:rFonts w:hint="eastAsia" w:ascii="仿宋_GB2312" w:hAnsi="仿宋_GB2312" w:eastAsia="仿宋_GB2312" w:cs="仿宋_GB2312"/>
          <w:sz w:val="32"/>
        </w:rPr>
        <w:t>绩效评价报告》见“第五部分 附件”</w:t>
      </w:r>
    </w:p>
    <w:p>
      <w:pPr>
        <w:ind w:firstLine="640"/>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楷体" w:hAnsi="楷体" w:eastAsia="楷体" w:cs="楷体"/>
          <w:sz w:val="32"/>
        </w:rPr>
      </w:pPr>
      <w:r>
        <w:rPr>
          <w:rFonts w:ascii="楷体" w:hAnsi="楷体" w:eastAsia="楷体" w:cs="楷体"/>
          <w:sz w:val="32"/>
        </w:rPr>
        <w:t>（一）预决算收支增减变化情况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rPr>
      </w:pPr>
      <w:r>
        <w:rPr>
          <w:rFonts w:hint="eastAsia" w:ascii="仿宋_GB2312" w:hAnsi="仿宋_GB2312" w:eastAsia="仿宋_GB2312" w:cs="仿宋_GB2312"/>
          <w:sz w:val="32"/>
        </w:rPr>
        <w:t>1、预决算收入变化情况。201</w:t>
      </w:r>
      <w:r>
        <w:rPr>
          <w:rFonts w:hint="eastAsia" w:ascii="仿宋_GB2312" w:hAnsi="仿宋_GB2312" w:eastAsia="仿宋_GB2312" w:cs="仿宋_GB2312"/>
          <w:sz w:val="32"/>
          <w:lang w:val="en-US" w:eastAsia="zh-CN"/>
        </w:rPr>
        <w:t>9</w:t>
      </w:r>
      <w:r>
        <w:rPr>
          <w:rFonts w:hint="eastAsia" w:ascii="仿宋_GB2312" w:hAnsi="仿宋_GB2312" w:eastAsia="仿宋_GB2312" w:cs="仿宋_GB2312"/>
          <w:sz w:val="32"/>
        </w:rPr>
        <w:t>年年初预算收入</w:t>
      </w:r>
      <w:r>
        <w:rPr>
          <w:rFonts w:hint="eastAsia" w:ascii="仿宋_GB2312" w:hAnsi="仿宋_GB2312" w:eastAsia="仿宋_GB2312" w:cs="仿宋_GB2312"/>
          <w:sz w:val="32"/>
          <w:lang w:val="en-US" w:eastAsia="zh-CN"/>
        </w:rPr>
        <w:t>871.73</w:t>
      </w:r>
      <w:r>
        <w:rPr>
          <w:rFonts w:hint="eastAsia" w:ascii="仿宋_GB2312" w:hAnsi="仿宋_GB2312" w:eastAsia="仿宋_GB2312" w:cs="仿宋_GB2312"/>
          <w:sz w:val="32"/>
        </w:rPr>
        <w:t>万元，决算收入</w:t>
      </w:r>
      <w:r>
        <w:rPr>
          <w:rFonts w:hint="eastAsia" w:ascii="仿宋_GB2312" w:hAnsi="仿宋_GB2312" w:eastAsia="仿宋_GB2312" w:cs="仿宋_GB2312"/>
          <w:sz w:val="32"/>
          <w:lang w:val="en-US" w:eastAsia="zh-CN"/>
        </w:rPr>
        <w:t>1296.46</w:t>
      </w:r>
      <w:r>
        <w:rPr>
          <w:rFonts w:hint="eastAsia" w:ascii="仿宋_GB2312" w:hAnsi="仿宋_GB2312" w:eastAsia="仿宋_GB2312" w:cs="仿宋_GB2312"/>
          <w:sz w:val="32"/>
        </w:rPr>
        <w:t>万元，比预算收入增加了</w:t>
      </w:r>
      <w:r>
        <w:rPr>
          <w:rFonts w:hint="eastAsia" w:ascii="仿宋_GB2312" w:hAnsi="仿宋_GB2312" w:eastAsia="仿宋_GB2312" w:cs="仿宋_GB2312"/>
          <w:sz w:val="32"/>
          <w:lang w:val="en-US" w:eastAsia="zh-CN"/>
        </w:rPr>
        <w:t>424.73</w:t>
      </w:r>
      <w:r>
        <w:rPr>
          <w:rFonts w:hint="eastAsia" w:ascii="仿宋_GB2312" w:hAnsi="仿宋_GB2312" w:eastAsia="仿宋_GB2312" w:cs="仿宋_GB2312"/>
          <w:sz w:val="32"/>
        </w:rPr>
        <w:t>万元，增长</w:t>
      </w:r>
      <w:r>
        <w:rPr>
          <w:rFonts w:hint="eastAsia" w:ascii="仿宋_GB2312" w:hAnsi="仿宋_GB2312" w:eastAsia="仿宋_GB2312" w:cs="仿宋_GB2312"/>
          <w:sz w:val="32"/>
          <w:lang w:val="en-US" w:eastAsia="zh-CN"/>
        </w:rPr>
        <w:t>48.72</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楷体" w:hAnsi="楷体" w:eastAsia="楷体" w:cs="楷体"/>
          <w:sz w:val="32"/>
        </w:rPr>
      </w:pPr>
      <w:r>
        <w:rPr>
          <w:rFonts w:hint="eastAsia" w:ascii="仿宋_GB2312" w:hAnsi="仿宋_GB2312" w:eastAsia="仿宋_GB2312" w:cs="仿宋_GB2312"/>
          <w:sz w:val="32"/>
        </w:rPr>
        <w:t>2、预决算支出变化情况。201</w:t>
      </w:r>
      <w:r>
        <w:rPr>
          <w:rFonts w:hint="eastAsia" w:ascii="仿宋_GB2312" w:hAnsi="仿宋_GB2312" w:eastAsia="仿宋_GB2312" w:cs="仿宋_GB2312"/>
          <w:sz w:val="32"/>
          <w:lang w:val="en-US" w:eastAsia="zh-CN"/>
        </w:rPr>
        <w:t>9</w:t>
      </w:r>
      <w:r>
        <w:rPr>
          <w:rFonts w:hint="eastAsia" w:ascii="仿宋_GB2312" w:hAnsi="仿宋_GB2312" w:eastAsia="仿宋_GB2312" w:cs="仿宋_GB2312"/>
          <w:sz w:val="32"/>
        </w:rPr>
        <w:t>年年初预算支出</w:t>
      </w:r>
      <w:r>
        <w:rPr>
          <w:rFonts w:hint="eastAsia" w:ascii="仿宋_GB2312" w:hAnsi="仿宋_GB2312" w:eastAsia="仿宋_GB2312" w:cs="仿宋_GB2312"/>
          <w:sz w:val="32"/>
          <w:lang w:val="en-US" w:eastAsia="zh-CN"/>
        </w:rPr>
        <w:t>871.73</w:t>
      </w:r>
      <w:r>
        <w:rPr>
          <w:rFonts w:hint="eastAsia" w:ascii="仿宋_GB2312" w:hAnsi="仿宋_GB2312" w:eastAsia="仿宋_GB2312" w:cs="仿宋_GB2312"/>
          <w:sz w:val="32"/>
        </w:rPr>
        <w:t>万元，决算支出</w:t>
      </w:r>
      <w:r>
        <w:rPr>
          <w:rFonts w:hint="eastAsia" w:ascii="仿宋_GB2312" w:hAnsi="仿宋_GB2312" w:eastAsia="仿宋_GB2312" w:cs="仿宋_GB2312"/>
          <w:sz w:val="32"/>
          <w:lang w:val="en-US" w:eastAsia="zh-CN"/>
        </w:rPr>
        <w:t>1115.24万元</w:t>
      </w:r>
      <w:r>
        <w:rPr>
          <w:rFonts w:hint="eastAsia" w:ascii="仿宋_GB2312" w:hAnsi="仿宋_GB2312" w:eastAsia="仿宋_GB2312" w:cs="仿宋_GB2312"/>
          <w:sz w:val="32"/>
        </w:rPr>
        <w:t>，比预算支出增加了</w:t>
      </w:r>
      <w:r>
        <w:rPr>
          <w:rFonts w:hint="eastAsia" w:ascii="仿宋_GB2312" w:hAnsi="仿宋_GB2312" w:eastAsia="仿宋_GB2312" w:cs="仿宋_GB2312"/>
          <w:sz w:val="32"/>
          <w:lang w:val="en-US" w:eastAsia="zh-CN"/>
        </w:rPr>
        <w:t>243.51</w:t>
      </w:r>
      <w:r>
        <w:rPr>
          <w:rFonts w:hint="eastAsia" w:ascii="仿宋_GB2312" w:hAnsi="仿宋_GB2312" w:eastAsia="仿宋_GB2312" w:cs="仿宋_GB2312"/>
          <w:sz w:val="32"/>
        </w:rPr>
        <w:t>万元，增长</w:t>
      </w:r>
      <w:r>
        <w:rPr>
          <w:rFonts w:hint="eastAsia" w:ascii="仿宋_GB2312" w:hAnsi="仿宋_GB2312" w:eastAsia="仿宋_GB2312" w:cs="仿宋_GB2312"/>
          <w:sz w:val="32"/>
          <w:lang w:val="en-US" w:eastAsia="zh-CN"/>
        </w:rPr>
        <w:t>27.93</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楷体" w:hAnsi="楷体" w:eastAsia="楷体" w:cs="楷体"/>
          <w:color w:val="FF0000"/>
          <w:sz w:val="32"/>
        </w:rPr>
      </w:pPr>
      <w:r>
        <w:rPr>
          <w:rFonts w:ascii="楷体" w:hAnsi="楷体" w:eastAsia="楷体" w:cs="楷体"/>
          <w:sz w:val="32"/>
        </w:rPr>
        <w:t>（二）机关运行经费支出情况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本部门2019年度机关</w:t>
      </w:r>
      <w:r>
        <w:rPr>
          <w:rFonts w:hint="eastAsia" w:ascii="仿宋_GB2312" w:hAnsi="仿宋_GB2312" w:eastAsia="仿宋_GB2312" w:cs="仿宋_GB2312"/>
          <w:sz w:val="32"/>
        </w:rPr>
        <w:t>运行经费支出</w:t>
      </w:r>
      <w:r>
        <w:rPr>
          <w:rFonts w:hint="eastAsia" w:ascii="仿宋_GB2312" w:hAnsi="仿宋_GB2312" w:eastAsia="仿宋_GB2312" w:cs="仿宋_GB2312"/>
          <w:sz w:val="32"/>
          <w:lang w:val="en-US" w:eastAsia="zh-CN"/>
        </w:rPr>
        <w:t>135.24</w:t>
      </w:r>
      <w:r>
        <w:rPr>
          <w:rFonts w:hint="eastAsia" w:ascii="仿宋_GB2312" w:hAnsi="仿宋_GB2312" w:eastAsia="仿宋_GB2312" w:cs="仿宋_GB2312"/>
          <w:sz w:val="32"/>
        </w:rPr>
        <w:t>万元，较上年增加</w:t>
      </w:r>
      <w:r>
        <w:rPr>
          <w:rFonts w:hint="eastAsia" w:ascii="仿宋_GB2312" w:hAnsi="仿宋_GB2312" w:eastAsia="仿宋_GB2312" w:cs="仿宋_GB2312"/>
          <w:sz w:val="32"/>
          <w:lang w:val="en-US" w:eastAsia="zh-CN"/>
        </w:rPr>
        <w:t>10.94</w:t>
      </w:r>
      <w:r>
        <w:rPr>
          <w:rFonts w:hint="eastAsia" w:ascii="仿宋_GB2312" w:hAnsi="仿宋_GB2312" w:eastAsia="仿宋_GB2312" w:cs="仿宋_GB2312"/>
          <w:sz w:val="32"/>
        </w:rPr>
        <w:t>万元，增</w:t>
      </w:r>
      <w:r>
        <w:rPr>
          <w:rFonts w:hint="eastAsia" w:ascii="仿宋_GB2312" w:hAnsi="仿宋_GB2312" w:eastAsia="仿宋_GB2312" w:cs="仿宋_GB2312"/>
          <w:sz w:val="32"/>
          <w:lang w:eastAsia="zh-CN"/>
        </w:rPr>
        <w:t>加</w:t>
      </w:r>
      <w:r>
        <w:rPr>
          <w:rFonts w:hint="eastAsia" w:ascii="仿宋_GB2312" w:hAnsi="仿宋_GB2312" w:eastAsia="仿宋_GB2312" w:cs="仿宋_GB2312"/>
          <w:sz w:val="32"/>
          <w:lang w:val="en-US" w:eastAsia="zh-CN"/>
        </w:rPr>
        <w:t>8.80</w:t>
      </w:r>
      <w:r>
        <w:rPr>
          <w:rFonts w:hint="eastAsia" w:ascii="仿宋_GB2312" w:hAnsi="仿宋_GB2312" w:eastAsia="仿宋_GB2312" w:cs="仿宋_GB2312"/>
          <w:sz w:val="32"/>
        </w:rPr>
        <w:t>%，主要原因是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机构改革后办公场所搬迁，人员增加，机关运行经费支出上升。</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left"/>
        <w:textAlignment w:val="auto"/>
        <w:rPr>
          <w:rFonts w:ascii="楷体" w:hAnsi="楷体" w:eastAsia="楷体" w:cs="楷体"/>
          <w:sz w:val="32"/>
        </w:rPr>
      </w:pPr>
      <w:r>
        <w:rPr>
          <w:rFonts w:ascii="楷体" w:hAnsi="楷体" w:eastAsia="楷体" w:cs="楷体"/>
          <w:sz w:val="32"/>
        </w:rPr>
        <w:t>政府采购支出情况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FF0000"/>
          <w:sz w:val="32"/>
        </w:rPr>
      </w:pPr>
      <w:r>
        <w:rPr>
          <w:rFonts w:hint="eastAsia" w:ascii="仿宋_GB2312" w:hAnsi="仿宋_GB2312" w:eastAsia="仿宋_GB2312" w:cs="仿宋_GB2312"/>
          <w:sz w:val="32"/>
          <w:szCs w:val="32"/>
        </w:rPr>
        <w:t>本部门2019年度政府采购</w:t>
      </w:r>
      <w:r>
        <w:rPr>
          <w:rFonts w:hint="eastAsia" w:ascii="仿宋_GB2312" w:hAnsi="仿宋_GB2312" w:eastAsia="仿宋_GB2312" w:cs="仿宋_GB2312"/>
          <w:sz w:val="32"/>
          <w:lang w:val="en-US" w:eastAsia="zh-CN"/>
        </w:rPr>
        <w:t>27.60</w:t>
      </w:r>
      <w:r>
        <w:rPr>
          <w:rFonts w:hint="eastAsia" w:ascii="仿宋_GB2312" w:hAnsi="仿宋_GB2312" w:eastAsia="仿宋_GB2312" w:cs="仿宋_GB2312"/>
          <w:sz w:val="32"/>
        </w:rPr>
        <w:t>万元，其中，政府采购货物支出</w:t>
      </w:r>
      <w:r>
        <w:rPr>
          <w:rFonts w:hint="eastAsia" w:ascii="仿宋_GB2312" w:hAnsi="仿宋_GB2312" w:eastAsia="仿宋_GB2312" w:cs="仿宋_GB2312"/>
          <w:sz w:val="32"/>
          <w:lang w:val="en-US" w:eastAsia="zh-CN"/>
        </w:rPr>
        <w:t>9.80</w:t>
      </w:r>
      <w:r>
        <w:rPr>
          <w:rFonts w:hint="eastAsia" w:ascii="仿宋_GB2312" w:hAnsi="仿宋_GB2312" w:eastAsia="仿宋_GB2312" w:cs="仿宋_GB2312"/>
          <w:sz w:val="32"/>
        </w:rPr>
        <w:t>万元，占政府采购支出总额的</w:t>
      </w:r>
      <w:r>
        <w:rPr>
          <w:rFonts w:hint="eastAsia" w:ascii="仿宋_GB2312" w:hAnsi="仿宋_GB2312" w:eastAsia="仿宋_GB2312" w:cs="仿宋_GB2312"/>
          <w:sz w:val="32"/>
          <w:lang w:val="en-US" w:eastAsia="zh-CN"/>
        </w:rPr>
        <w:t>35.51</w:t>
      </w:r>
      <w:r>
        <w:rPr>
          <w:rFonts w:hint="eastAsia" w:ascii="仿宋_GB2312" w:hAnsi="仿宋_GB2312" w:eastAsia="仿宋_GB2312" w:cs="仿宋_GB2312"/>
          <w:sz w:val="32"/>
        </w:rPr>
        <w:t>%，政府采购服务支出</w:t>
      </w:r>
      <w:r>
        <w:rPr>
          <w:rFonts w:hint="eastAsia" w:ascii="仿宋_GB2312" w:hAnsi="仿宋_GB2312" w:eastAsia="仿宋_GB2312" w:cs="仿宋_GB2312"/>
          <w:sz w:val="32"/>
          <w:lang w:val="en-US" w:eastAsia="zh-CN"/>
        </w:rPr>
        <w:t>17.80</w:t>
      </w:r>
      <w:r>
        <w:rPr>
          <w:rFonts w:hint="eastAsia" w:ascii="仿宋_GB2312" w:hAnsi="仿宋_GB2312" w:eastAsia="仿宋_GB2312" w:cs="仿宋_GB2312"/>
          <w:sz w:val="32"/>
        </w:rPr>
        <w:t>万元，占政府采购支出总额的</w:t>
      </w:r>
      <w:r>
        <w:rPr>
          <w:rFonts w:hint="eastAsia" w:ascii="仿宋_GB2312" w:hAnsi="仿宋_GB2312" w:eastAsia="仿宋_GB2312" w:cs="仿宋_GB2312"/>
          <w:sz w:val="32"/>
          <w:lang w:val="en-US" w:eastAsia="zh-CN"/>
        </w:rPr>
        <w:t>64.49</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楷体" w:hAnsi="楷体" w:eastAsia="楷体" w:cs="楷体"/>
          <w:sz w:val="32"/>
        </w:rPr>
      </w:pPr>
      <w:r>
        <w:rPr>
          <w:rFonts w:ascii="楷体" w:hAnsi="楷体" w:eastAsia="楷体" w:cs="楷体"/>
          <w:sz w:val="32"/>
        </w:rPr>
        <w:t>（四）国有资产占用情况。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201</w:t>
      </w:r>
      <w:r>
        <w:rPr>
          <w:rFonts w:hint="eastAsia" w:ascii="仿宋_GB2312" w:eastAsia="仿宋_GB2312"/>
          <w:sz w:val="32"/>
          <w:szCs w:val="32"/>
        </w:rPr>
        <w:t>9年1</w:t>
      </w:r>
      <w:r>
        <w:rPr>
          <w:rFonts w:ascii="仿宋_GB2312" w:eastAsia="仿宋_GB2312"/>
          <w:sz w:val="32"/>
          <w:szCs w:val="32"/>
        </w:rPr>
        <w:t>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日，本部门共有车辆</w:t>
      </w:r>
      <w:r>
        <w:rPr>
          <w:rFonts w:hint="eastAsia" w:ascii="仿宋_GB2312" w:eastAsia="仿宋_GB2312"/>
          <w:sz w:val="32"/>
          <w:szCs w:val="32"/>
          <w:lang w:val="en-US" w:eastAsia="zh-CN"/>
        </w:rPr>
        <w:t>4</w:t>
      </w:r>
      <w:r>
        <w:rPr>
          <w:rFonts w:hint="eastAsia" w:ascii="仿宋_GB2312" w:eastAsia="仿宋_GB2312"/>
          <w:sz w:val="32"/>
          <w:szCs w:val="32"/>
        </w:rPr>
        <w:t>辆，其中机要通信和应急用车1辆、一般执法执勤用车3辆。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eastAsia="仿宋_GB2312"/>
          <w:sz w:val="32"/>
          <w:szCs w:val="32"/>
        </w:rPr>
      </w:pPr>
    </w:p>
    <w:p>
      <w:pPr>
        <w:ind w:firstLine="640"/>
        <w:jc w:val="left"/>
        <w:rPr>
          <w:rFonts w:ascii="楷体" w:hAnsi="楷体" w:eastAsia="楷体" w:cs="楷体"/>
          <w:sz w:val="32"/>
        </w:rPr>
      </w:pPr>
    </w:p>
    <w:p>
      <w:pPr>
        <w:ind w:firstLine="640"/>
        <w:jc w:val="left"/>
        <w:rPr>
          <w:rFonts w:ascii="楷体" w:hAnsi="楷体" w:eastAsia="楷体" w:cs="楷体"/>
          <w:sz w:val="32"/>
        </w:rPr>
      </w:pPr>
    </w:p>
    <w:p>
      <w:pPr>
        <w:ind w:firstLine="640"/>
        <w:jc w:val="left"/>
        <w:rPr>
          <w:rFonts w:ascii="楷体" w:hAnsi="楷体" w:eastAsia="楷体" w:cs="楷体"/>
          <w:sz w:val="32"/>
        </w:rPr>
      </w:pPr>
    </w:p>
    <w:p>
      <w:pPr>
        <w:ind w:firstLine="640"/>
        <w:jc w:val="left"/>
        <w:rPr>
          <w:rFonts w:ascii="楷体" w:hAnsi="楷体" w:eastAsia="楷体" w:cs="楷体"/>
          <w:sz w:val="32"/>
        </w:rPr>
      </w:pPr>
    </w:p>
    <w:p>
      <w:pPr>
        <w:jc w:val="left"/>
        <w:rPr>
          <w:rFonts w:ascii="楷体" w:hAnsi="楷体" w:eastAsia="楷体" w:cs="楷体"/>
          <w:sz w:val="32"/>
        </w:rPr>
      </w:pPr>
    </w:p>
    <w:p>
      <w:pPr>
        <w:jc w:val="left"/>
        <w:rPr>
          <w:rFonts w:ascii="楷体" w:hAnsi="楷体" w:eastAsia="楷体" w:cs="楷体"/>
          <w:sz w:val="32"/>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both"/>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方正小标宋_GBK" w:hAnsi="方正小标宋_GBK" w:eastAsia="方正小标宋_GBK" w:cs="方正小标宋_GBK"/>
          <w:sz w:val="44"/>
        </w:rPr>
      </w:pPr>
      <w:r>
        <w:rPr>
          <w:rFonts w:ascii="宋体" w:hAnsi="宋体" w:eastAsia="宋体" w:cs="宋体"/>
          <w:sz w:val="44"/>
        </w:rPr>
        <w:t>第四部分</w:t>
      </w:r>
      <w:r>
        <w:rPr>
          <w:rFonts w:ascii="方正小标宋_GBK" w:hAnsi="方正小标宋_GBK" w:eastAsia="方正小标宋_GBK" w:cs="方正小标宋_GBK"/>
          <w:sz w:val="44"/>
        </w:rPr>
        <w:t xml:space="preserve"> </w:t>
      </w:r>
      <w:r>
        <w:rPr>
          <w:rFonts w:ascii="宋体" w:hAnsi="宋体" w:eastAsia="宋体" w:cs="宋体"/>
          <w:sz w:val="44"/>
        </w:rPr>
        <w:t>名词解释</w:t>
      </w:r>
    </w:p>
    <w:p>
      <w:pPr>
        <w:ind w:firstLine="643"/>
        <w:jc w:val="left"/>
        <w:rPr>
          <w:rFonts w:ascii="仿宋" w:hAnsi="仿宋" w:eastAsia="仿宋" w:cs="仿宋"/>
          <w:b/>
          <w:sz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rPr>
          <w:rFonts w:ascii="宋体" w:hAnsi="宋体" w:eastAsia="宋体" w:cs="宋体"/>
          <w:sz w:val="44"/>
        </w:rPr>
      </w:pPr>
    </w:p>
    <w:p>
      <w:pPr>
        <w:jc w:val="center"/>
        <w:rPr>
          <w:rFonts w:hint="eastAsia" w:ascii="宋体" w:hAnsi="宋体" w:eastAsia="宋体" w:cs="宋体"/>
          <w:sz w:val="44"/>
        </w:rPr>
      </w:pPr>
    </w:p>
    <w:p>
      <w:pPr>
        <w:jc w:val="center"/>
        <w:rPr>
          <w:rFonts w:hint="eastAsia" w:ascii="宋体" w:hAnsi="宋体" w:eastAsia="宋体" w:cs="宋体"/>
          <w:sz w:val="44"/>
        </w:rPr>
      </w:pPr>
    </w:p>
    <w:p>
      <w:pPr>
        <w:jc w:val="center"/>
        <w:rPr>
          <w:rFonts w:hint="eastAsia" w:ascii="宋体" w:hAnsi="宋体" w:eastAsia="宋体" w:cs="宋体"/>
          <w:sz w:val="44"/>
        </w:rPr>
      </w:pPr>
    </w:p>
    <w:p>
      <w:pPr>
        <w:jc w:val="center"/>
        <w:rPr>
          <w:rFonts w:hint="eastAsia" w:ascii="宋体" w:hAnsi="宋体" w:eastAsia="宋体" w:cs="宋体"/>
          <w:sz w:val="44"/>
        </w:rPr>
      </w:pPr>
    </w:p>
    <w:p>
      <w:pPr>
        <w:jc w:val="center"/>
        <w:rPr>
          <w:rFonts w:hint="eastAsia" w:ascii="宋体" w:hAnsi="宋体" w:eastAsia="宋体" w:cs="宋体"/>
          <w:sz w:val="44"/>
        </w:rPr>
      </w:pPr>
    </w:p>
    <w:p>
      <w:pPr>
        <w:jc w:val="center"/>
        <w:rPr>
          <w:rFonts w:hint="eastAsia" w:ascii="宋体" w:hAnsi="宋体" w:eastAsia="宋体" w:cs="宋体"/>
          <w:sz w:val="44"/>
        </w:rPr>
      </w:pPr>
    </w:p>
    <w:p>
      <w:pPr>
        <w:jc w:val="center"/>
        <w:rPr>
          <w:rFonts w:hint="eastAsia" w:ascii="宋体" w:hAnsi="宋体" w:eastAsia="宋体" w:cs="宋体"/>
          <w:sz w:val="44"/>
        </w:rPr>
      </w:pPr>
    </w:p>
    <w:p>
      <w:pPr>
        <w:jc w:val="center"/>
        <w:rPr>
          <w:rFonts w:hint="eastAsia" w:ascii="宋体" w:hAnsi="宋体" w:eastAsia="宋体" w:cs="宋体"/>
          <w:sz w:val="44"/>
        </w:rPr>
      </w:pPr>
    </w:p>
    <w:p>
      <w:pPr>
        <w:jc w:val="center"/>
        <w:rPr>
          <w:rFonts w:hint="eastAsia" w:ascii="宋体" w:hAnsi="宋体" w:eastAsia="宋体" w:cs="宋体"/>
          <w:sz w:val="44"/>
        </w:rPr>
      </w:pPr>
    </w:p>
    <w:p>
      <w:pPr>
        <w:jc w:val="center"/>
        <w:rPr>
          <w:rFonts w:hint="eastAsia" w:ascii="宋体" w:hAnsi="宋体" w:eastAsia="宋体" w:cs="宋体"/>
          <w:sz w:val="44"/>
        </w:rPr>
      </w:pPr>
    </w:p>
    <w:p>
      <w:pPr>
        <w:jc w:val="center"/>
        <w:rPr>
          <w:rFonts w:hint="eastAsia" w:ascii="宋体" w:hAnsi="宋体" w:eastAsia="宋体" w:cs="宋体"/>
          <w:sz w:val="44"/>
        </w:rPr>
      </w:pPr>
    </w:p>
    <w:p>
      <w:pPr>
        <w:jc w:val="center"/>
        <w:rPr>
          <w:rFonts w:hint="eastAsia" w:ascii="宋体" w:hAnsi="宋体" w:eastAsia="宋体" w:cs="宋体"/>
          <w:sz w:val="44"/>
        </w:rPr>
      </w:pPr>
    </w:p>
    <w:p>
      <w:pPr>
        <w:jc w:val="center"/>
        <w:rPr>
          <w:rFonts w:ascii="宋体" w:hAnsi="宋体" w:eastAsia="宋体" w:cs="宋体"/>
          <w:sz w:val="44"/>
        </w:rPr>
      </w:pPr>
      <w:r>
        <w:rPr>
          <w:rFonts w:hint="eastAsia" w:ascii="宋体" w:hAnsi="宋体" w:eastAsia="宋体" w:cs="宋体"/>
          <w:sz w:val="44"/>
        </w:rPr>
        <w:t>第五部分   附件</w:t>
      </w:r>
    </w:p>
    <w:p>
      <w:pPr>
        <w:ind w:firstLine="640"/>
        <w:jc w:val="left"/>
        <w:rPr>
          <w:rFonts w:ascii="仿宋" w:hAnsi="仿宋" w:eastAsia="仿宋" w:cs="仿宋"/>
          <w:sz w:val="32"/>
        </w:rPr>
      </w:pPr>
    </w:p>
    <w:p>
      <w:pPr>
        <w:spacing w:beforeLines="0" w:afterLines="0" w:line="600" w:lineRule="exact"/>
        <w:jc w:val="center"/>
        <w:rPr>
          <w:rFonts w:hint="eastAsia" w:ascii="方正小标宋_GBK" w:eastAsia="方正小标宋_GBK"/>
          <w:sz w:val="44"/>
        </w:rPr>
      </w:pPr>
      <w:r>
        <w:rPr>
          <w:rFonts w:hint="eastAsia" w:ascii="方正小标宋_GBK" w:eastAsia="方正小标宋_GBK"/>
          <w:sz w:val="44"/>
        </w:rPr>
        <w:t>益阳市应急管理局</w:t>
      </w:r>
    </w:p>
    <w:p>
      <w:pPr>
        <w:spacing w:beforeLines="0" w:afterLines="0" w:line="600" w:lineRule="exact"/>
        <w:jc w:val="center"/>
        <w:rPr>
          <w:rFonts w:hint="eastAsia" w:ascii="方正小标宋_GBK" w:eastAsia="方正小标宋_GBK"/>
          <w:sz w:val="44"/>
        </w:rPr>
      </w:pPr>
      <w:r>
        <w:rPr>
          <w:rFonts w:hint="eastAsia" w:ascii="方正小标宋_GBK" w:eastAsia="方正小标宋_GBK"/>
          <w:sz w:val="44"/>
        </w:rPr>
        <w:t>2019年度部门整体支出绩效评价报告</w:t>
      </w:r>
    </w:p>
    <w:p>
      <w:pPr>
        <w:spacing w:beforeLines="0" w:afterLines="0" w:line="600" w:lineRule="exact"/>
        <w:ind w:firstLine="723" w:firstLineChars="225"/>
        <w:rPr>
          <w:rFonts w:hint="eastAsia" w:ascii="仿宋_GB2312" w:eastAsia="仿宋_GB2312"/>
          <w:b/>
          <w:sz w:val="32"/>
        </w:rPr>
      </w:pPr>
    </w:p>
    <w:p>
      <w:pPr>
        <w:spacing w:beforeLines="0" w:afterLines="0" w:line="560" w:lineRule="exact"/>
        <w:ind w:firstLine="720" w:firstLineChars="225"/>
        <w:rPr>
          <w:rFonts w:hint="eastAsia" w:ascii="仿宋_GB2312" w:hAnsi="仿宋_GB2312" w:eastAsia="仿宋_GB2312"/>
          <w:sz w:val="32"/>
        </w:rPr>
      </w:pPr>
      <w:r>
        <w:rPr>
          <w:rFonts w:hint="eastAsia" w:ascii="仿宋_GB2312" w:hAnsi="仿宋_GB2312" w:eastAsia="仿宋_GB2312"/>
          <w:sz w:val="32"/>
        </w:rPr>
        <w:t>为进一步增强预算绩效理念，规范财政资金管理，切实提高财政资金使用效益，按照《益阳市财政局关于开展2019年度预算绩效自评工作的通知》（益财绩〔2020〕70号）要求，我局对2019年部门整体支出绩效进行了全面、客观的评价，现将具体情况报告如下：</w:t>
      </w:r>
    </w:p>
    <w:p>
      <w:pPr>
        <w:topLinePunct/>
        <w:spacing w:beforeLines="0" w:afterLines="0" w:line="560" w:lineRule="exact"/>
        <w:ind w:firstLine="640" w:firstLineChars="200"/>
        <w:rPr>
          <w:rFonts w:hint="eastAsia" w:ascii="仿宋_GB2312" w:eastAsia="仿宋_GB2312"/>
          <w:sz w:val="32"/>
        </w:rPr>
      </w:pPr>
      <w:r>
        <w:rPr>
          <w:rFonts w:hint="eastAsia" w:ascii="黑体" w:hAnsi="黑体" w:eastAsia="黑体"/>
          <w:sz w:val="32"/>
        </w:rPr>
        <w:t>一、基本情况</w:t>
      </w:r>
    </w:p>
    <w:p>
      <w:pPr>
        <w:topLinePunct/>
        <w:spacing w:beforeLines="0" w:afterLines="0" w:line="560" w:lineRule="exact"/>
        <w:ind w:firstLine="640" w:firstLineChars="200"/>
        <w:rPr>
          <w:rFonts w:hint="eastAsia" w:ascii="楷体" w:hAnsi="楷体" w:eastAsia="楷体"/>
          <w:sz w:val="32"/>
        </w:rPr>
      </w:pPr>
      <w:r>
        <w:rPr>
          <w:rFonts w:hint="eastAsia" w:ascii="楷体" w:hAnsi="楷体" w:eastAsia="楷体"/>
          <w:sz w:val="32"/>
        </w:rPr>
        <w:t>（一）部门整体支出概况</w:t>
      </w:r>
    </w:p>
    <w:p>
      <w:pPr>
        <w:topLinePunct/>
        <w:spacing w:beforeLines="0" w:afterLines="0" w:line="560" w:lineRule="exact"/>
        <w:ind w:firstLine="643" w:firstLineChars="200"/>
        <w:rPr>
          <w:rFonts w:hint="eastAsia" w:ascii="仿宋_GB2312" w:eastAsia="仿宋_GB2312"/>
          <w:b/>
          <w:sz w:val="32"/>
        </w:rPr>
      </w:pPr>
      <w:r>
        <w:rPr>
          <w:rFonts w:hint="eastAsia" w:ascii="仿宋_GB2312" w:eastAsia="仿宋_GB2312"/>
          <w:b/>
          <w:sz w:val="32"/>
        </w:rPr>
        <w:t>1、部门决算收支情况</w:t>
      </w:r>
    </w:p>
    <w:p>
      <w:pPr>
        <w:snapToGrid w:val="0"/>
        <w:spacing w:beforeLines="0" w:afterLines="0" w:line="560" w:lineRule="exact"/>
        <w:ind w:firstLine="640" w:firstLineChars="200"/>
        <w:jc w:val="left"/>
        <w:rPr>
          <w:rFonts w:hint="eastAsia" w:ascii="仿宋_GB2312" w:hAnsi="仿宋" w:eastAsia="仿宋_GB2312"/>
          <w:sz w:val="32"/>
        </w:rPr>
      </w:pPr>
      <w:r>
        <w:rPr>
          <w:rFonts w:hint="eastAsia" w:ascii="仿宋_GB2312" w:eastAsia="仿宋_GB2312"/>
          <w:sz w:val="32"/>
        </w:rPr>
        <w:t>2019年度部门决算收入</w:t>
      </w:r>
      <w:r>
        <w:rPr>
          <w:rFonts w:hint="eastAsia" w:ascii="仿宋_GB2312" w:hAnsi="仿宋" w:eastAsia="仿宋_GB2312"/>
          <w:sz w:val="32"/>
        </w:rPr>
        <w:t>1296.46</w:t>
      </w:r>
      <w:r>
        <w:rPr>
          <w:rFonts w:hint="eastAsia" w:ascii="仿宋_GB2312" w:eastAsia="仿宋_GB2312"/>
          <w:sz w:val="32"/>
        </w:rPr>
        <w:t>万元，全部为</w:t>
      </w:r>
      <w:r>
        <w:rPr>
          <w:rFonts w:hint="eastAsia" w:ascii="仿宋_GB2312" w:hAnsi="仿宋" w:eastAsia="仿宋_GB2312"/>
          <w:sz w:val="32"/>
        </w:rPr>
        <w:t>财政拨款收入；2019年度部门决算支出1115.24万元，其中基本支出780.87万元，占70.02%，项目支出334.37万元，占29.98%。2019年当年收入、支出构成情况详见表一。</w:t>
      </w:r>
    </w:p>
    <w:p>
      <w:pPr>
        <w:snapToGrid w:val="0"/>
        <w:spacing w:beforeLines="0" w:afterLines="0" w:line="560" w:lineRule="exact"/>
        <w:ind w:firstLine="640" w:firstLineChars="200"/>
        <w:jc w:val="left"/>
        <w:rPr>
          <w:rFonts w:hint="eastAsia" w:ascii="仿宋_GB2312" w:hAnsi="仿宋" w:eastAsia="仿宋_GB2312"/>
          <w:sz w:val="32"/>
        </w:rPr>
      </w:pPr>
    </w:p>
    <w:tbl>
      <w:tblPr>
        <w:tblStyle w:val="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4050"/>
        <w:gridCol w:w="175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32"/>
              </w:rPr>
            </w:pPr>
            <w:r>
              <w:rPr>
                <w:rFonts w:hint="eastAsia" w:ascii="仿宋_GB2312" w:hAnsi="仿宋" w:eastAsia="仿宋_GB2312"/>
                <w:sz w:val="30"/>
              </w:rPr>
              <w:t>科目编码</w:t>
            </w:r>
          </w:p>
        </w:tc>
        <w:tc>
          <w:tcPr>
            <w:tcW w:w="4050"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32"/>
              </w:rPr>
            </w:pPr>
            <w:r>
              <w:rPr>
                <w:rFonts w:hint="eastAsia" w:ascii="仿宋_GB2312" w:hAnsi="仿宋" w:eastAsia="仿宋_GB2312"/>
                <w:sz w:val="30"/>
              </w:rPr>
              <w:t>科目名称</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32"/>
              </w:rPr>
            </w:pPr>
            <w:r>
              <w:rPr>
                <w:rFonts w:hint="eastAsia" w:ascii="仿宋_GB2312" w:hAnsi="仿宋" w:eastAsia="仿宋_GB2312"/>
                <w:sz w:val="30"/>
              </w:rPr>
              <w:t>收入构成</w:t>
            </w:r>
          </w:p>
        </w:tc>
        <w:tc>
          <w:tcPr>
            <w:tcW w:w="148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32"/>
              </w:rPr>
            </w:pPr>
            <w:r>
              <w:rPr>
                <w:rFonts w:hint="eastAsia" w:ascii="仿宋_GB2312" w:hAnsi="仿宋" w:eastAsia="仿宋_GB2312"/>
                <w:sz w:val="30"/>
              </w:rPr>
              <w:t>支出构成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32"/>
              </w:rPr>
            </w:pPr>
            <w:r>
              <w:rPr>
                <w:rFonts w:hint="eastAsia" w:ascii="仿宋_GB2312" w:hAnsi="仿宋" w:eastAsia="仿宋_GB2312"/>
                <w:sz w:val="28"/>
              </w:rPr>
              <w:t>2010301</w:t>
            </w:r>
          </w:p>
        </w:tc>
        <w:tc>
          <w:tcPr>
            <w:tcW w:w="4050"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32"/>
              </w:rPr>
            </w:pPr>
            <w:r>
              <w:rPr>
                <w:rFonts w:hint="eastAsia" w:ascii="仿宋_GB2312" w:hAnsi="仿宋" w:eastAsia="仿宋_GB2312"/>
                <w:sz w:val="28"/>
              </w:rPr>
              <w:t>行政运行</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32"/>
              </w:rPr>
            </w:pPr>
            <w:r>
              <w:rPr>
                <w:rFonts w:hint="eastAsia" w:ascii="仿宋_GB2312" w:hAnsi="仿宋" w:eastAsia="仿宋_GB2312"/>
                <w:sz w:val="28"/>
              </w:rPr>
              <w:t>2.4</w:t>
            </w:r>
          </w:p>
        </w:tc>
        <w:tc>
          <w:tcPr>
            <w:tcW w:w="148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32"/>
              </w:rPr>
            </w:pPr>
            <w:r>
              <w:rPr>
                <w:rFonts w:hint="eastAsia" w:ascii="仿宋_GB2312" w:hAnsi="仿宋" w:eastAsia="仿宋_GB2312"/>
                <w:sz w:val="2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32"/>
              </w:rPr>
            </w:pPr>
            <w:r>
              <w:rPr>
                <w:rFonts w:hint="eastAsia" w:ascii="仿宋_GB2312" w:hAnsi="仿宋" w:eastAsia="仿宋_GB2312"/>
                <w:sz w:val="28"/>
              </w:rPr>
              <w:t>2013299</w:t>
            </w:r>
          </w:p>
        </w:tc>
        <w:tc>
          <w:tcPr>
            <w:tcW w:w="4050"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32"/>
              </w:rPr>
            </w:pPr>
            <w:r>
              <w:rPr>
                <w:rFonts w:hint="eastAsia" w:ascii="仿宋_GB2312" w:hAnsi="仿宋" w:eastAsia="仿宋_GB2312"/>
                <w:sz w:val="28"/>
              </w:rPr>
              <w:t>其他组织事务支出</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32"/>
              </w:rPr>
            </w:pPr>
            <w:r>
              <w:rPr>
                <w:rFonts w:hint="eastAsia" w:ascii="仿宋_GB2312" w:hAnsi="仿宋" w:eastAsia="仿宋_GB2312"/>
                <w:sz w:val="28"/>
              </w:rPr>
              <w:t>1.98</w:t>
            </w:r>
          </w:p>
        </w:tc>
        <w:tc>
          <w:tcPr>
            <w:tcW w:w="148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32"/>
              </w:rPr>
            </w:pPr>
            <w:r>
              <w:rPr>
                <w:rFonts w:hint="eastAsia" w:ascii="仿宋_GB2312" w:hAnsi="仿宋" w:eastAsia="仿宋_GB2312"/>
                <w:sz w:val="28"/>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28"/>
              </w:rPr>
            </w:pPr>
            <w:r>
              <w:rPr>
                <w:rFonts w:hint="eastAsia" w:ascii="仿宋_GB2312" w:hAnsi="仿宋" w:eastAsia="仿宋_GB2312"/>
                <w:sz w:val="28"/>
              </w:rPr>
              <w:t>2019999</w:t>
            </w:r>
          </w:p>
        </w:tc>
        <w:tc>
          <w:tcPr>
            <w:tcW w:w="4050"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28"/>
              </w:rPr>
            </w:pPr>
            <w:r>
              <w:rPr>
                <w:rFonts w:hint="eastAsia" w:ascii="仿宋_GB2312" w:hAnsi="仿宋" w:eastAsia="仿宋_GB2312"/>
                <w:sz w:val="28"/>
              </w:rPr>
              <w:t>其他一般公共服务支出</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28"/>
              </w:rPr>
            </w:pPr>
            <w:r>
              <w:rPr>
                <w:rFonts w:hint="eastAsia" w:ascii="仿宋_GB2312" w:hAnsi="仿宋" w:eastAsia="仿宋_GB2312"/>
                <w:sz w:val="28"/>
              </w:rPr>
              <w:t>0.75</w:t>
            </w:r>
          </w:p>
        </w:tc>
        <w:tc>
          <w:tcPr>
            <w:tcW w:w="148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28"/>
              </w:rPr>
            </w:pPr>
            <w:r>
              <w:rPr>
                <w:rFonts w:hint="eastAsia" w:ascii="仿宋_GB2312" w:hAnsi="仿宋" w:eastAsia="仿宋_GB2312"/>
                <w:sz w:val="28"/>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32"/>
              </w:rPr>
            </w:pPr>
            <w:r>
              <w:rPr>
                <w:rFonts w:hint="eastAsia" w:ascii="仿宋_GB2312" w:hAnsi="仿宋" w:eastAsia="仿宋_GB2312"/>
                <w:sz w:val="28"/>
              </w:rPr>
              <w:t>2080501</w:t>
            </w:r>
          </w:p>
        </w:tc>
        <w:tc>
          <w:tcPr>
            <w:tcW w:w="4050"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32"/>
              </w:rPr>
            </w:pPr>
            <w:r>
              <w:rPr>
                <w:rFonts w:hint="eastAsia" w:ascii="仿宋_GB2312" w:hAnsi="仿宋" w:eastAsia="仿宋_GB2312"/>
                <w:sz w:val="28"/>
              </w:rPr>
              <w:t>归口管理的行政单位离退休</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32"/>
              </w:rPr>
            </w:pPr>
            <w:r>
              <w:rPr>
                <w:rFonts w:hint="eastAsia" w:ascii="仿宋_GB2312" w:hAnsi="仿宋" w:eastAsia="仿宋_GB2312"/>
                <w:sz w:val="28"/>
              </w:rPr>
              <w:t>7.67</w:t>
            </w:r>
          </w:p>
        </w:tc>
        <w:tc>
          <w:tcPr>
            <w:tcW w:w="148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32"/>
              </w:rPr>
            </w:pPr>
            <w:r>
              <w:rPr>
                <w:rFonts w:hint="eastAsia" w:ascii="仿宋_GB2312" w:hAnsi="仿宋" w:eastAsia="仿宋_GB2312"/>
                <w:sz w:val="28"/>
              </w:rPr>
              <w:t>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32"/>
              </w:rPr>
            </w:pPr>
            <w:r>
              <w:rPr>
                <w:rFonts w:hint="eastAsia" w:ascii="仿宋_GB2312" w:hAnsi="仿宋" w:eastAsia="仿宋_GB2312"/>
                <w:sz w:val="28"/>
              </w:rPr>
              <w:t>2101101</w:t>
            </w:r>
          </w:p>
        </w:tc>
        <w:tc>
          <w:tcPr>
            <w:tcW w:w="4050"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32"/>
              </w:rPr>
            </w:pPr>
            <w:r>
              <w:rPr>
                <w:rFonts w:hint="eastAsia" w:ascii="仿宋_GB2312" w:hAnsi="仿宋" w:eastAsia="仿宋_GB2312"/>
                <w:sz w:val="28"/>
              </w:rPr>
              <w:t xml:space="preserve">  行政单位医疗</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32"/>
              </w:rPr>
            </w:pPr>
            <w:r>
              <w:rPr>
                <w:rFonts w:hint="eastAsia" w:ascii="仿宋_GB2312" w:hAnsi="仿宋" w:eastAsia="仿宋_GB2312"/>
                <w:sz w:val="28"/>
              </w:rPr>
              <w:t>35.01</w:t>
            </w:r>
          </w:p>
        </w:tc>
        <w:tc>
          <w:tcPr>
            <w:tcW w:w="148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32"/>
              </w:rPr>
            </w:pPr>
            <w:r>
              <w:rPr>
                <w:rFonts w:hint="eastAsia" w:ascii="仿宋_GB2312" w:hAnsi="仿宋" w:eastAsia="仿宋_GB2312"/>
                <w:sz w:val="28"/>
              </w:rPr>
              <w:t>35.01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32"/>
              </w:rPr>
            </w:pPr>
            <w:r>
              <w:rPr>
                <w:rFonts w:hint="eastAsia" w:ascii="仿宋_GB2312" w:hAnsi="仿宋" w:eastAsia="仿宋_GB2312"/>
                <w:sz w:val="28"/>
              </w:rPr>
              <w:t>2130301</w:t>
            </w:r>
          </w:p>
        </w:tc>
        <w:tc>
          <w:tcPr>
            <w:tcW w:w="4050"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32"/>
              </w:rPr>
            </w:pPr>
            <w:r>
              <w:rPr>
                <w:rFonts w:hint="eastAsia" w:ascii="仿宋_GB2312" w:hAnsi="仿宋" w:eastAsia="仿宋_GB2312"/>
                <w:sz w:val="28"/>
              </w:rPr>
              <w:t xml:space="preserve">  行政运行</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32"/>
              </w:rPr>
            </w:pPr>
            <w:r>
              <w:rPr>
                <w:rFonts w:hint="eastAsia" w:ascii="仿宋_GB2312" w:hAnsi="仿宋" w:eastAsia="仿宋_GB2312"/>
                <w:sz w:val="28"/>
              </w:rPr>
              <w:t>32.75</w:t>
            </w:r>
          </w:p>
        </w:tc>
        <w:tc>
          <w:tcPr>
            <w:tcW w:w="1485"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center" w:pos="799"/>
                <w:tab w:val="right" w:pos="1479"/>
              </w:tabs>
              <w:snapToGrid w:val="0"/>
              <w:spacing w:beforeLines="0" w:afterLines="0" w:line="520" w:lineRule="exact"/>
              <w:jc w:val="left"/>
              <w:rPr>
                <w:rFonts w:hint="eastAsia" w:ascii="仿宋_GB2312" w:hAnsi="仿宋" w:eastAsia="仿宋_GB2312"/>
                <w:sz w:val="32"/>
              </w:rPr>
            </w:pPr>
            <w:r>
              <w:rPr>
                <w:rFonts w:hint="eastAsia" w:ascii="仿宋_GB2312" w:hAnsi="仿宋" w:eastAsia="仿宋_GB2312"/>
                <w:sz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32"/>
              </w:rPr>
            </w:pPr>
            <w:r>
              <w:rPr>
                <w:rFonts w:hint="eastAsia" w:ascii="仿宋_GB2312" w:hAnsi="仿宋" w:eastAsia="仿宋_GB2312"/>
                <w:sz w:val="28"/>
              </w:rPr>
              <w:t>2159999</w:t>
            </w:r>
          </w:p>
        </w:tc>
        <w:tc>
          <w:tcPr>
            <w:tcW w:w="4050"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32"/>
              </w:rPr>
            </w:pPr>
            <w:r>
              <w:rPr>
                <w:rFonts w:hint="eastAsia" w:ascii="仿宋_GB2312" w:hAnsi="仿宋" w:eastAsia="仿宋_GB2312"/>
                <w:sz w:val="28"/>
              </w:rPr>
              <w:t>其他资源勘探信息等支出</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32"/>
              </w:rPr>
            </w:pPr>
          </w:p>
        </w:tc>
        <w:tc>
          <w:tcPr>
            <w:tcW w:w="148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32"/>
              </w:rPr>
            </w:pPr>
            <w:r>
              <w:rPr>
                <w:rFonts w:hint="eastAsia" w:ascii="仿宋_GB2312" w:hAnsi="仿宋" w:eastAsia="仿宋_GB2312"/>
                <w:sz w:val="28"/>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32"/>
              </w:rPr>
            </w:pPr>
            <w:r>
              <w:rPr>
                <w:rFonts w:hint="eastAsia" w:ascii="仿宋_GB2312" w:hAnsi="仿宋" w:eastAsia="仿宋_GB2312"/>
                <w:sz w:val="28"/>
              </w:rPr>
              <w:t>2210201</w:t>
            </w:r>
          </w:p>
        </w:tc>
        <w:tc>
          <w:tcPr>
            <w:tcW w:w="4050"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32"/>
              </w:rPr>
            </w:pPr>
            <w:r>
              <w:rPr>
                <w:rFonts w:hint="eastAsia" w:ascii="仿宋_GB2312" w:hAnsi="仿宋" w:eastAsia="仿宋_GB2312"/>
                <w:sz w:val="28"/>
              </w:rPr>
              <w:t>住房公积金</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32"/>
              </w:rPr>
            </w:pPr>
            <w:r>
              <w:rPr>
                <w:rFonts w:hint="eastAsia" w:ascii="仿宋_GB2312" w:hAnsi="仿宋" w:eastAsia="仿宋_GB2312"/>
                <w:sz w:val="28"/>
              </w:rPr>
              <w:t>35.82</w:t>
            </w:r>
          </w:p>
        </w:tc>
        <w:tc>
          <w:tcPr>
            <w:tcW w:w="148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32"/>
              </w:rPr>
            </w:pPr>
            <w:r>
              <w:rPr>
                <w:rFonts w:hint="eastAsia" w:ascii="仿宋_GB2312" w:hAnsi="仿宋" w:eastAsia="仿宋_GB2312"/>
                <w:sz w:val="28"/>
              </w:rPr>
              <w:t>35.82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28"/>
              </w:rPr>
            </w:pPr>
            <w:r>
              <w:rPr>
                <w:rFonts w:hint="eastAsia" w:ascii="仿宋_GB2312" w:hAnsi="仿宋" w:eastAsia="仿宋_GB2312"/>
                <w:sz w:val="28"/>
              </w:rPr>
              <w:t>2240101</w:t>
            </w:r>
          </w:p>
        </w:tc>
        <w:tc>
          <w:tcPr>
            <w:tcW w:w="4050"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28"/>
              </w:rPr>
            </w:pPr>
            <w:r>
              <w:rPr>
                <w:rFonts w:hint="eastAsia" w:ascii="仿宋_GB2312" w:hAnsi="仿宋" w:eastAsia="仿宋_GB2312"/>
                <w:sz w:val="28"/>
              </w:rPr>
              <w:t>行政运行</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28"/>
              </w:rPr>
            </w:pPr>
            <w:r>
              <w:rPr>
                <w:rFonts w:hint="eastAsia" w:ascii="仿宋_GB2312" w:hAnsi="仿宋" w:eastAsia="仿宋_GB2312"/>
                <w:sz w:val="28"/>
              </w:rPr>
              <w:t>533.68</w:t>
            </w:r>
          </w:p>
        </w:tc>
        <w:tc>
          <w:tcPr>
            <w:tcW w:w="148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28"/>
              </w:rPr>
            </w:pPr>
            <w:r>
              <w:rPr>
                <w:rFonts w:hint="eastAsia" w:ascii="仿宋_GB2312" w:hAnsi="仿宋" w:eastAsia="仿宋_GB2312"/>
                <w:sz w:val="28"/>
              </w:rPr>
              <w:t>550.77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28"/>
              </w:rPr>
            </w:pPr>
            <w:r>
              <w:rPr>
                <w:rFonts w:hint="eastAsia" w:ascii="仿宋_GB2312" w:hAnsi="仿宋" w:eastAsia="仿宋_GB2312"/>
                <w:sz w:val="28"/>
              </w:rPr>
              <w:t>2240102</w:t>
            </w:r>
          </w:p>
        </w:tc>
        <w:tc>
          <w:tcPr>
            <w:tcW w:w="4050"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28"/>
              </w:rPr>
            </w:pPr>
            <w:r>
              <w:rPr>
                <w:rFonts w:hint="eastAsia" w:ascii="仿宋_GB2312" w:hAnsi="仿宋" w:eastAsia="仿宋_GB2312"/>
                <w:sz w:val="28"/>
              </w:rPr>
              <w:t xml:space="preserve">  一般行政管理事务</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28"/>
              </w:rPr>
            </w:pPr>
          </w:p>
        </w:tc>
        <w:tc>
          <w:tcPr>
            <w:tcW w:w="148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28"/>
              </w:rPr>
            </w:pPr>
            <w:r>
              <w:rPr>
                <w:rFonts w:hint="eastAsia" w:ascii="仿宋_GB2312" w:hAnsi="仿宋" w:eastAsia="仿宋_GB2312"/>
                <w:sz w:val="28"/>
              </w:rPr>
              <w:t>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28"/>
              </w:rPr>
            </w:pPr>
            <w:r>
              <w:rPr>
                <w:rFonts w:hint="eastAsia" w:ascii="仿宋_GB2312" w:hAnsi="仿宋" w:eastAsia="仿宋_GB2312"/>
                <w:sz w:val="28"/>
              </w:rPr>
              <w:t>2240106</w:t>
            </w:r>
          </w:p>
        </w:tc>
        <w:tc>
          <w:tcPr>
            <w:tcW w:w="4050"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28"/>
              </w:rPr>
            </w:pPr>
            <w:r>
              <w:rPr>
                <w:rFonts w:hint="eastAsia" w:ascii="仿宋_GB2312" w:hAnsi="仿宋" w:eastAsia="仿宋_GB2312"/>
                <w:sz w:val="28"/>
              </w:rPr>
              <w:t xml:space="preserve">  安全监管</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28"/>
              </w:rPr>
            </w:pPr>
            <w:r>
              <w:rPr>
                <w:rFonts w:hint="eastAsia" w:ascii="仿宋_GB2312" w:hAnsi="仿宋" w:eastAsia="仿宋_GB2312"/>
                <w:sz w:val="28"/>
              </w:rPr>
              <w:t>395.40</w:t>
            </w:r>
          </w:p>
        </w:tc>
        <w:tc>
          <w:tcPr>
            <w:tcW w:w="148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28"/>
              </w:rPr>
            </w:pPr>
            <w:r>
              <w:rPr>
                <w:rFonts w:hint="eastAsia" w:ascii="仿宋_GB2312" w:hAnsi="仿宋" w:eastAsia="仿宋_GB2312"/>
                <w:sz w:val="28"/>
              </w:rPr>
              <w:t>350.23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28"/>
              </w:rPr>
            </w:pPr>
            <w:r>
              <w:rPr>
                <w:rFonts w:hint="eastAsia" w:ascii="仿宋_GB2312" w:hAnsi="仿宋" w:eastAsia="仿宋_GB2312"/>
                <w:sz w:val="28"/>
              </w:rPr>
              <w:t>2240199</w:t>
            </w:r>
          </w:p>
        </w:tc>
        <w:tc>
          <w:tcPr>
            <w:tcW w:w="4050"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28"/>
              </w:rPr>
            </w:pPr>
            <w:r>
              <w:rPr>
                <w:rFonts w:hint="eastAsia" w:ascii="仿宋_GB2312" w:hAnsi="仿宋" w:eastAsia="仿宋_GB2312"/>
                <w:sz w:val="28"/>
              </w:rPr>
              <w:t xml:space="preserve">  其他应急管理支出</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28"/>
              </w:rPr>
            </w:pPr>
            <w:r>
              <w:rPr>
                <w:rFonts w:hint="eastAsia" w:ascii="仿宋_GB2312" w:hAnsi="仿宋" w:eastAsia="仿宋_GB2312"/>
                <w:sz w:val="28"/>
              </w:rPr>
              <w:t>65.00</w:t>
            </w:r>
          </w:p>
        </w:tc>
        <w:tc>
          <w:tcPr>
            <w:tcW w:w="148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28"/>
              </w:rPr>
            </w:pPr>
            <w:r>
              <w:rPr>
                <w:rFonts w:hint="eastAsia" w:ascii="仿宋_GB2312" w:hAnsi="仿宋" w:eastAsia="仿宋_GB2312"/>
                <w:sz w:val="28"/>
              </w:rPr>
              <w:t>61.61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28"/>
              </w:rPr>
            </w:pPr>
            <w:r>
              <w:rPr>
                <w:rFonts w:hint="eastAsia" w:ascii="仿宋_GB2312" w:hAnsi="仿宋" w:eastAsia="仿宋_GB2312"/>
                <w:sz w:val="28"/>
              </w:rPr>
              <w:t>2240499</w:t>
            </w:r>
          </w:p>
        </w:tc>
        <w:tc>
          <w:tcPr>
            <w:tcW w:w="4050"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28"/>
              </w:rPr>
            </w:pPr>
            <w:r>
              <w:rPr>
                <w:rFonts w:hint="eastAsia" w:ascii="仿宋_GB2312" w:hAnsi="仿宋" w:eastAsia="仿宋_GB2312"/>
                <w:sz w:val="28"/>
              </w:rPr>
              <w:t xml:space="preserve">  其他煤矿安全支出</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28"/>
              </w:rPr>
            </w:pPr>
            <w:r>
              <w:rPr>
                <w:rFonts w:hint="eastAsia" w:ascii="仿宋_GB2312" w:hAnsi="仿宋" w:eastAsia="仿宋_GB2312"/>
                <w:sz w:val="28"/>
              </w:rPr>
              <w:t>70.00</w:t>
            </w:r>
          </w:p>
        </w:tc>
        <w:tc>
          <w:tcPr>
            <w:tcW w:w="148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28"/>
              </w:rPr>
            </w:pPr>
            <w:r>
              <w:rPr>
                <w:rFonts w:hint="eastAsia" w:ascii="仿宋_GB2312" w:hAnsi="仿宋" w:eastAsia="仿宋_GB2312"/>
                <w:sz w:val="28"/>
              </w:rPr>
              <w:t>2240799</w:t>
            </w:r>
          </w:p>
        </w:tc>
        <w:tc>
          <w:tcPr>
            <w:tcW w:w="4050"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28"/>
              </w:rPr>
            </w:pPr>
            <w:r>
              <w:rPr>
                <w:rFonts w:hint="eastAsia" w:ascii="仿宋_GB2312" w:hAnsi="仿宋" w:eastAsia="仿宋_GB2312"/>
                <w:sz w:val="28"/>
              </w:rPr>
              <w:t>其他自然灾害生活救助支出</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28"/>
              </w:rPr>
            </w:pPr>
            <w:r>
              <w:rPr>
                <w:rFonts w:hint="eastAsia" w:ascii="仿宋_GB2312" w:hAnsi="仿宋" w:eastAsia="仿宋_GB2312"/>
                <w:sz w:val="28"/>
              </w:rPr>
              <w:t>86.00</w:t>
            </w:r>
          </w:p>
        </w:tc>
        <w:tc>
          <w:tcPr>
            <w:tcW w:w="148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28"/>
              </w:rPr>
            </w:pPr>
            <w:r>
              <w:rPr>
                <w:rFonts w:hint="eastAsia" w:ascii="仿宋_GB2312" w:hAnsi="仿宋" w:eastAsia="仿宋_GB2312"/>
                <w:sz w:val="28"/>
              </w:rPr>
              <w:t>2249900</w:t>
            </w:r>
          </w:p>
        </w:tc>
        <w:tc>
          <w:tcPr>
            <w:tcW w:w="4050"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rPr>
                <w:rFonts w:hint="eastAsia" w:ascii="仿宋_GB2312" w:hAnsi="仿宋" w:eastAsia="仿宋_GB2312"/>
                <w:sz w:val="28"/>
              </w:rPr>
            </w:pPr>
            <w:r>
              <w:rPr>
                <w:rFonts w:hint="eastAsia" w:ascii="仿宋_GB2312" w:hAnsi="仿宋" w:eastAsia="仿宋_GB2312"/>
                <w:sz w:val="28"/>
              </w:rPr>
              <w:t>其他灾害防治及应急管理支出</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28"/>
              </w:rPr>
            </w:pPr>
            <w:r>
              <w:rPr>
                <w:rFonts w:hint="eastAsia" w:ascii="仿宋_GB2312" w:hAnsi="仿宋" w:eastAsia="仿宋_GB2312"/>
                <w:sz w:val="28"/>
              </w:rPr>
              <w:t>30.00</w:t>
            </w:r>
          </w:p>
        </w:tc>
        <w:tc>
          <w:tcPr>
            <w:tcW w:w="148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32"/>
              </w:rPr>
            </w:pPr>
            <w:r>
              <w:rPr>
                <w:rFonts w:hint="eastAsia" w:ascii="仿宋_GB2312" w:hAnsi="仿宋" w:eastAsia="仿宋_GB2312"/>
                <w:b/>
                <w:sz w:val="28"/>
              </w:rPr>
              <w:t>合计</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32"/>
              </w:rPr>
            </w:pPr>
            <w:r>
              <w:rPr>
                <w:rFonts w:hint="eastAsia" w:ascii="仿宋_GB2312" w:hAnsi="仿宋" w:eastAsia="仿宋_GB2312"/>
                <w:b/>
                <w:sz w:val="28"/>
              </w:rPr>
              <w:t>1296.46</w:t>
            </w:r>
          </w:p>
        </w:tc>
        <w:tc>
          <w:tcPr>
            <w:tcW w:w="1485"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520" w:lineRule="exact"/>
              <w:jc w:val="center"/>
              <w:rPr>
                <w:rFonts w:hint="eastAsia" w:ascii="仿宋_GB2312" w:hAnsi="仿宋" w:eastAsia="仿宋_GB2312"/>
                <w:sz w:val="32"/>
              </w:rPr>
            </w:pPr>
            <w:r>
              <w:rPr>
                <w:rFonts w:hint="eastAsia" w:ascii="仿宋_GB2312" w:hAnsi="仿宋" w:eastAsia="仿宋_GB2312"/>
                <w:b/>
                <w:sz w:val="28"/>
              </w:rPr>
              <w:t>1115.24</w:t>
            </w:r>
          </w:p>
        </w:tc>
      </w:tr>
    </w:tbl>
    <w:p>
      <w:pPr>
        <w:snapToGrid w:val="0"/>
        <w:spacing w:beforeLines="0" w:afterLines="0" w:line="560" w:lineRule="exact"/>
        <w:ind w:firstLine="640" w:firstLineChars="200"/>
        <w:jc w:val="center"/>
        <w:rPr>
          <w:rFonts w:hint="eastAsia" w:ascii="仿宋_GB2312" w:hAnsi="仿宋" w:eastAsia="仿宋_GB2312"/>
          <w:sz w:val="32"/>
        </w:rPr>
      </w:pPr>
      <w:r>
        <w:rPr>
          <w:rFonts w:hint="eastAsia" w:ascii="仿宋_GB2312" w:hAnsi="仿宋" w:eastAsia="仿宋_GB2312"/>
          <w:sz w:val="32"/>
        </w:rPr>
        <w:t>（表一：2019年当年收支构成表     单位：万元）</w:t>
      </w:r>
    </w:p>
    <w:p>
      <w:pPr>
        <w:snapToGrid w:val="0"/>
        <w:spacing w:beforeLines="0" w:afterLines="0" w:line="560" w:lineRule="exact"/>
        <w:ind w:firstLine="643" w:firstLineChars="200"/>
        <w:jc w:val="left"/>
        <w:rPr>
          <w:rFonts w:hint="eastAsia" w:ascii="仿宋_GB2312" w:hAnsi="仿宋" w:eastAsia="仿宋_GB2312"/>
          <w:sz w:val="32"/>
        </w:rPr>
      </w:pPr>
      <w:r>
        <w:rPr>
          <w:rFonts w:hint="eastAsia" w:ascii="仿宋_GB2312" w:hAnsi="仿宋" w:eastAsia="仿宋_GB2312"/>
          <w:b/>
          <w:sz w:val="32"/>
        </w:rPr>
        <w:t>2、年初预算完成率</w:t>
      </w:r>
    </w:p>
    <w:p>
      <w:pPr>
        <w:snapToGrid w:val="0"/>
        <w:spacing w:beforeLines="0" w:afterLines="0" w:line="560" w:lineRule="exact"/>
        <w:ind w:firstLine="640" w:firstLineChars="200"/>
        <w:jc w:val="left"/>
        <w:rPr>
          <w:rFonts w:hint="eastAsia" w:ascii="仿宋_GB2312" w:hAnsi="仿宋" w:eastAsia="仿宋_GB2312"/>
          <w:sz w:val="32"/>
        </w:rPr>
      </w:pPr>
      <w:r>
        <w:rPr>
          <w:rFonts w:hint="eastAsia" w:ascii="仿宋_GB2312" w:hAnsi="仿宋" w:eastAsia="仿宋_GB2312"/>
          <w:sz w:val="32"/>
        </w:rPr>
        <w:t>2019年度年初预算数871.83万元，支出决算数为1115.24万元，年初预算完成率为127.92 %。</w:t>
      </w:r>
    </w:p>
    <w:p>
      <w:pPr>
        <w:snapToGrid w:val="0"/>
        <w:spacing w:beforeLines="0" w:afterLines="0" w:line="560" w:lineRule="exact"/>
        <w:ind w:firstLine="643" w:firstLineChars="200"/>
        <w:jc w:val="left"/>
        <w:rPr>
          <w:rFonts w:hint="eastAsia" w:ascii="仿宋_GB2312" w:hAnsi="仿宋" w:eastAsia="仿宋_GB2312"/>
          <w:b/>
          <w:sz w:val="32"/>
        </w:rPr>
      </w:pPr>
      <w:r>
        <w:rPr>
          <w:rFonts w:hint="eastAsia" w:ascii="仿宋_GB2312" w:hAnsi="仿宋" w:eastAsia="仿宋_GB2312"/>
          <w:b/>
          <w:sz w:val="32"/>
        </w:rPr>
        <w:t>3、收支平衡和结转结余情况</w:t>
      </w:r>
    </w:p>
    <w:p>
      <w:pPr>
        <w:snapToGrid w:val="0"/>
        <w:spacing w:beforeLines="0" w:afterLines="0" w:line="560" w:lineRule="exact"/>
        <w:ind w:firstLine="640" w:firstLineChars="200"/>
        <w:jc w:val="left"/>
        <w:rPr>
          <w:rFonts w:hint="eastAsia" w:ascii="仿宋_GB2312" w:eastAsia="仿宋_GB2312"/>
          <w:sz w:val="32"/>
        </w:rPr>
      </w:pPr>
      <w:r>
        <w:rPr>
          <w:rFonts w:hint="eastAsia" w:ascii="仿宋_GB2312" w:hAnsi="仿宋" w:eastAsia="仿宋_GB2312"/>
          <w:sz w:val="32"/>
        </w:rPr>
        <w:t>2019年度我单位总收入1919.45万元（年初结转结余622.99万元），总支出1115.24万元，年终结转结余804.21万元，财政盈余较多。</w:t>
      </w:r>
    </w:p>
    <w:p>
      <w:pPr>
        <w:numPr>
          <w:ilvl w:val="0"/>
          <w:numId w:val="0"/>
        </w:numPr>
        <w:topLinePunct/>
        <w:spacing w:beforeLines="0" w:afterLines="0" w:line="560" w:lineRule="exact"/>
        <w:ind w:firstLine="640" w:firstLineChars="200"/>
        <w:rPr>
          <w:rFonts w:hint="eastAsia" w:ascii="黑体" w:hAnsi="黑体" w:eastAsia="黑体"/>
          <w:sz w:val="32"/>
        </w:rPr>
      </w:pPr>
      <w:r>
        <w:rPr>
          <w:rFonts w:hint="eastAsia" w:ascii="楷体" w:hAnsi="楷体" w:eastAsia="楷体"/>
          <w:sz w:val="32"/>
        </w:rPr>
        <w:t>（二）部门整体支出绩效目标</w:t>
      </w:r>
    </w:p>
    <w:p>
      <w:pPr>
        <w:numPr>
          <w:ilvl w:val="0"/>
          <w:numId w:val="0"/>
        </w:numPr>
        <w:topLinePunct/>
        <w:spacing w:beforeLines="0" w:afterLines="0" w:line="560" w:lineRule="exact"/>
        <w:ind w:firstLine="643" w:firstLineChars="200"/>
        <w:rPr>
          <w:rFonts w:hint="eastAsia" w:ascii="仿宋_GB2312" w:eastAsia="仿宋_GB2312"/>
          <w:sz w:val="32"/>
        </w:rPr>
      </w:pPr>
      <w:r>
        <w:rPr>
          <w:rFonts w:hint="eastAsia" w:ascii="仿宋_GB2312" w:eastAsia="仿宋_GB2312"/>
          <w:b/>
          <w:sz w:val="32"/>
        </w:rPr>
        <w:t>1、个性指标。</w:t>
      </w:r>
      <w:r>
        <w:rPr>
          <w:rFonts w:hint="eastAsia" w:ascii="仿宋_GB2312" w:eastAsia="仿宋_GB2312"/>
          <w:sz w:val="32"/>
        </w:rPr>
        <w:t>2019年，我单位</w:t>
      </w:r>
      <w:r>
        <w:rPr>
          <w:rFonts w:hint="eastAsia" w:ascii="仿宋_GB2312" w:hAnsi="仿宋_GB2312" w:eastAsia="仿宋_GB2312"/>
          <w:sz w:val="32"/>
        </w:rPr>
        <w:t>以“不忘初心、牢记使命”为主题，以“企业安全生产主体责任年”和“隐患排查治理年”两大主题活动为主线，扎实开展安全风险隐患“大排查大管控大整治”行动、“十大专项整治”行动和安全监管“强执法防事故”行动，全面推进安全生产“四化建设”，确保了全市安全生产形势总体平稳。截止12月31日止，</w:t>
      </w:r>
      <w:r>
        <w:rPr>
          <w:rFonts w:hint="eastAsia" w:ascii="仿宋_GB2312" w:hAnsi="仿宋_GB2312" w:eastAsia="仿宋_GB2312"/>
          <w:color w:val="000000"/>
          <w:sz w:val="32"/>
        </w:rPr>
        <w:t>全市共发生生产安全事故30起，死亡36人，直接经济损失2543.9万元，与上年同比分别上升42.9%、24.1%和100.3%</w:t>
      </w:r>
      <w:r>
        <w:rPr>
          <w:rFonts w:hint="eastAsia" w:ascii="仿宋_GB2312" w:hAnsi="仿宋_GB2312" w:eastAsia="仿宋_GB2312"/>
          <w:sz w:val="32"/>
        </w:rPr>
        <w:t>。虽然今年事故三项指标有所上升，但形势整体平稳可控。</w:t>
      </w:r>
    </w:p>
    <w:p>
      <w:pPr>
        <w:numPr>
          <w:ilvl w:val="0"/>
          <w:numId w:val="0"/>
        </w:numPr>
        <w:topLinePunct/>
        <w:spacing w:beforeLines="0" w:afterLines="0" w:line="560" w:lineRule="exact"/>
        <w:ind w:firstLine="643" w:firstLineChars="200"/>
        <w:rPr>
          <w:rFonts w:hint="eastAsia" w:ascii="仿宋_GB2312" w:eastAsia="仿宋_GB2312"/>
          <w:b/>
          <w:sz w:val="32"/>
        </w:rPr>
      </w:pPr>
      <w:r>
        <w:rPr>
          <w:rFonts w:hint="eastAsia" w:ascii="仿宋_GB2312" w:eastAsia="仿宋_GB2312"/>
          <w:b/>
          <w:sz w:val="32"/>
        </w:rPr>
        <w:t>2、预决算公开。</w:t>
      </w:r>
      <w:r>
        <w:rPr>
          <w:rFonts w:hint="eastAsia" w:ascii="仿宋_GB2312" w:hAnsi="仿宋_GB2312" w:eastAsia="仿宋_GB2312"/>
          <w:sz w:val="32"/>
        </w:rPr>
        <w:t>2019年，严格按时间、按要求、按内容在益阳市财政局门户网和益阳市应急管理局门户网进行了预决算公开，做到了公开及时、格式规范、内容完整。</w:t>
      </w:r>
    </w:p>
    <w:p>
      <w:pPr>
        <w:numPr>
          <w:ilvl w:val="0"/>
          <w:numId w:val="0"/>
        </w:numPr>
        <w:topLinePunct/>
        <w:spacing w:beforeLines="0" w:afterLines="0" w:line="560" w:lineRule="exact"/>
        <w:ind w:firstLine="643" w:firstLineChars="200"/>
        <w:rPr>
          <w:rFonts w:hint="eastAsia" w:ascii="仿宋_GB2312" w:eastAsia="仿宋_GB2312"/>
          <w:b/>
          <w:sz w:val="32"/>
        </w:rPr>
      </w:pPr>
      <w:r>
        <w:rPr>
          <w:rFonts w:hint="eastAsia" w:ascii="仿宋_GB2312" w:eastAsia="仿宋_GB2312"/>
          <w:b/>
          <w:sz w:val="32"/>
        </w:rPr>
        <w:t>3、存量资金管理。</w:t>
      </w:r>
      <w:r>
        <w:rPr>
          <w:rFonts w:hint="eastAsia" w:ascii="仿宋_GB2312" w:hAnsi="仿宋_GB2312" w:eastAsia="仿宋_GB2312"/>
          <w:sz w:val="32"/>
        </w:rPr>
        <w:t>我单位存量资金大部分为专项资金，一方面摸清底数，严格专款专用；另一方面搞好统筹规划，积极推进，盘活资金，提高存量资金的使用效率。</w:t>
      </w:r>
    </w:p>
    <w:p>
      <w:pPr>
        <w:spacing w:beforeLines="0" w:afterLines="0" w:line="560" w:lineRule="exact"/>
        <w:ind w:firstLine="643" w:firstLineChars="200"/>
        <w:rPr>
          <w:rFonts w:hint="eastAsia" w:ascii="仿宋_GB2312" w:eastAsia="仿宋_GB2312"/>
          <w:b/>
          <w:sz w:val="32"/>
        </w:rPr>
      </w:pPr>
      <w:r>
        <w:rPr>
          <w:rFonts w:hint="eastAsia" w:ascii="仿宋_GB2312" w:eastAsia="仿宋_GB2312"/>
          <w:b/>
          <w:sz w:val="32"/>
        </w:rPr>
        <w:t>4、资产管理。</w:t>
      </w:r>
      <w:r>
        <w:rPr>
          <w:rFonts w:hint="eastAsia" w:ascii="仿宋_GB2312" w:eastAsia="仿宋_GB2312"/>
          <w:sz w:val="32"/>
        </w:rPr>
        <w:t>我单位</w:t>
      </w:r>
      <w:r>
        <w:rPr>
          <w:rFonts w:hint="eastAsia" w:ascii="仿宋_GB2312" w:hAnsi="仿宋_GB2312" w:eastAsia="仿宋_GB2312"/>
          <w:sz w:val="32"/>
        </w:rPr>
        <w:t>通过湖南省行政事业资产动态管理信息系统进行资产管理，正确、全面、及时地记录资产的增加、减少、使用等情况，确保国有资产安全完整；资产管理和使用始终坚持统一政策、统一领导、分级管理、责任到人、物尽其用的原则；年初妥善完成了涉改单位固定资产交接手续，并及时进行了账务处理。</w:t>
      </w:r>
    </w:p>
    <w:p>
      <w:pPr>
        <w:numPr>
          <w:ilvl w:val="0"/>
          <w:numId w:val="0"/>
        </w:numPr>
        <w:topLinePunct/>
        <w:spacing w:beforeLines="0" w:afterLines="0" w:line="560" w:lineRule="exact"/>
        <w:ind w:firstLine="643" w:firstLineChars="200"/>
        <w:rPr>
          <w:rFonts w:hint="eastAsia" w:ascii="仿宋_GB2312" w:eastAsia="仿宋_GB2312"/>
          <w:b/>
          <w:sz w:val="32"/>
        </w:rPr>
      </w:pPr>
      <w:r>
        <w:rPr>
          <w:rFonts w:hint="eastAsia" w:ascii="仿宋_GB2312" w:eastAsia="仿宋_GB2312"/>
          <w:b/>
          <w:sz w:val="32"/>
        </w:rPr>
        <w:t>5、三公经费控制。</w:t>
      </w:r>
      <w:r>
        <w:rPr>
          <w:rFonts w:hint="eastAsia" w:ascii="仿宋_GB2312" w:eastAsia="仿宋_GB2312"/>
          <w:sz w:val="32"/>
        </w:rPr>
        <w:t>2019年，三公经费支出40.39万元，较上年度减少1.57万元，下降3.81%。其中</w:t>
      </w:r>
      <w:r>
        <w:rPr>
          <w:rFonts w:hint="eastAsia" w:ascii="仿宋_GB2312" w:hAnsi="仿宋" w:eastAsia="仿宋_GB2312"/>
          <w:sz w:val="32"/>
        </w:rPr>
        <w:t>公务接待费4.50万元，较上年度减少2.9万元，降幅39.19%；公务用车运行维护费35.89万元，较上年度增加1.33万元，增幅3.85%；无出国（境）费支出。</w:t>
      </w:r>
    </w:p>
    <w:p>
      <w:pPr>
        <w:numPr>
          <w:ilvl w:val="0"/>
          <w:numId w:val="0"/>
        </w:numPr>
        <w:topLinePunct/>
        <w:spacing w:beforeLines="0" w:afterLines="0" w:line="560" w:lineRule="exact"/>
        <w:ind w:firstLine="643" w:firstLineChars="200"/>
        <w:rPr>
          <w:rFonts w:hint="eastAsia" w:ascii="仿宋_GB2312" w:eastAsia="仿宋_GB2312"/>
          <w:b/>
          <w:sz w:val="32"/>
        </w:rPr>
      </w:pPr>
      <w:r>
        <w:rPr>
          <w:rFonts w:hint="eastAsia" w:ascii="仿宋_GB2312" w:eastAsia="仿宋_GB2312"/>
          <w:b/>
          <w:sz w:val="32"/>
        </w:rPr>
        <w:t>6、内部管理制度。</w:t>
      </w:r>
      <w:r>
        <w:rPr>
          <w:rFonts w:hint="eastAsia" w:ascii="仿宋_GB2312" w:eastAsia="仿宋_GB2312"/>
          <w:sz w:val="32"/>
        </w:rPr>
        <w:t>以党纪法规为依据，以内控制度为准绳，</w:t>
      </w:r>
      <w:r>
        <w:rPr>
          <w:rFonts w:hint="eastAsia" w:ascii="仿宋_GB2312" w:hAnsi="仿宋_GB2312" w:eastAsia="仿宋_GB2312"/>
          <w:sz w:val="32"/>
        </w:rPr>
        <w:t>依法、依规、依程序开展各项经济活动，充分保证公开公平公正；进一步落实厉行节约的各项规定，严控“三公经费”，压减一般性支出，持续发挥内控制度相互制约、相互监督的管理效果。</w:t>
      </w:r>
    </w:p>
    <w:p>
      <w:pPr>
        <w:numPr>
          <w:ilvl w:val="0"/>
          <w:numId w:val="2"/>
        </w:numPr>
        <w:topLinePunct/>
        <w:spacing w:beforeLines="0" w:afterLines="0" w:line="560" w:lineRule="exact"/>
        <w:ind w:firstLine="640" w:firstLineChars="200"/>
        <w:rPr>
          <w:rFonts w:hint="eastAsia" w:ascii="楷体" w:hAnsi="楷体" w:eastAsia="楷体"/>
          <w:sz w:val="32"/>
        </w:rPr>
      </w:pPr>
      <w:r>
        <w:rPr>
          <w:rFonts w:hint="eastAsia" w:ascii="楷体" w:hAnsi="楷体" w:eastAsia="楷体"/>
          <w:sz w:val="32"/>
        </w:rPr>
        <w:t>部门整体支出情况分析</w:t>
      </w:r>
    </w:p>
    <w:p>
      <w:pPr>
        <w:spacing w:beforeLines="0" w:afterLines="0"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从整体情况来看，我局严格按照年初部门预算安排和预算调整进行部门整体支出。在支出过程中，能严格遵守各项规章制度，“三公经费”持续下降。特别是在专项经费支出上，确保专款专用，按项目实施进度进行资金拨付，无截留、无挪用等现象。</w:t>
      </w:r>
    </w:p>
    <w:p>
      <w:pPr>
        <w:topLinePunct/>
        <w:spacing w:beforeLines="0" w:afterLines="0" w:line="560" w:lineRule="exact"/>
        <w:ind w:firstLine="640" w:firstLineChars="200"/>
        <w:rPr>
          <w:rFonts w:hint="eastAsia" w:ascii="黑体" w:hAnsi="黑体" w:eastAsia="黑体"/>
          <w:sz w:val="32"/>
        </w:rPr>
      </w:pPr>
      <w:r>
        <w:rPr>
          <w:rFonts w:hint="eastAsia" w:ascii="黑体" w:hAnsi="黑体" w:eastAsia="黑体"/>
          <w:sz w:val="32"/>
        </w:rPr>
        <w:t>二、绩效评价工作情况</w:t>
      </w:r>
    </w:p>
    <w:p>
      <w:pPr>
        <w:topLinePunct/>
        <w:spacing w:beforeLines="0" w:afterLines="0" w:line="560" w:lineRule="exact"/>
        <w:ind w:firstLine="640" w:firstLineChars="200"/>
        <w:rPr>
          <w:rFonts w:hint="eastAsia" w:ascii="楷体" w:hAnsi="楷体" w:eastAsia="楷体"/>
          <w:sz w:val="32"/>
        </w:rPr>
      </w:pPr>
      <w:r>
        <w:rPr>
          <w:rFonts w:hint="eastAsia" w:ascii="楷体" w:hAnsi="楷体" w:eastAsia="楷体"/>
          <w:sz w:val="32"/>
        </w:rPr>
        <w:t>（一）绩效评价目的</w:t>
      </w:r>
    </w:p>
    <w:p>
      <w:pPr>
        <w:topLinePunct/>
        <w:spacing w:beforeLines="0" w:afterLines="0" w:line="560" w:lineRule="exact"/>
        <w:ind w:firstLine="640" w:firstLineChars="200"/>
        <w:rPr>
          <w:rFonts w:hint="eastAsia" w:ascii="仿宋_GB2312" w:eastAsia="仿宋_GB2312"/>
          <w:sz w:val="32"/>
        </w:rPr>
      </w:pPr>
      <w:r>
        <w:rPr>
          <w:rFonts w:hint="eastAsia" w:ascii="仿宋_GB2312" w:hAnsi="仿宋_GB2312" w:eastAsia="仿宋_GB2312"/>
          <w:sz w:val="32"/>
        </w:rPr>
        <w:t>此次绩效评价的目的是：严格落实《预算法》及省、市绩效管理工作的有关规定，进一步规范财政资金的管理，强化财政支出绩效理念，提升部门责任意识，提高资金使用效益，促进应急管理工作的发展。</w:t>
      </w:r>
    </w:p>
    <w:p>
      <w:pPr>
        <w:numPr>
          <w:ilvl w:val="0"/>
          <w:numId w:val="0"/>
        </w:numPr>
        <w:topLinePunct/>
        <w:spacing w:beforeLines="0" w:afterLines="0" w:line="560" w:lineRule="exact"/>
        <w:ind w:firstLine="640" w:firstLineChars="200"/>
        <w:rPr>
          <w:rFonts w:hint="eastAsia" w:ascii="楷体" w:hAnsi="楷体" w:eastAsia="楷体"/>
          <w:sz w:val="32"/>
        </w:rPr>
      </w:pPr>
      <w:r>
        <w:rPr>
          <w:rFonts w:hint="eastAsia" w:ascii="楷体" w:hAnsi="楷体" w:eastAsia="楷体"/>
          <w:sz w:val="32"/>
        </w:rPr>
        <w:t>（二）绩效评价工作过程</w:t>
      </w:r>
    </w:p>
    <w:p>
      <w:pPr>
        <w:spacing w:beforeLines="0" w:afterLines="0" w:line="560" w:lineRule="exact"/>
        <w:ind w:firstLine="640" w:firstLineChars="200"/>
        <w:rPr>
          <w:rFonts w:hint="eastAsia" w:ascii="仿宋_GB2312" w:eastAsia="仿宋_GB2312"/>
          <w:sz w:val="32"/>
        </w:rPr>
      </w:pPr>
      <w:r>
        <w:rPr>
          <w:rFonts w:hint="eastAsia" w:ascii="仿宋_GB2312" w:hAnsi="仿宋_GB2312" w:eastAsia="仿宋_GB2312"/>
          <w:sz w:val="32"/>
        </w:rPr>
        <w:t>根据绩效评价的要求，我局成立了绩效评价工作领导小组，负责绩效评价工作的组织领导和具体实施。通过检查基本支出、项目支出有关账目，收集整理经费支出的相关资料，并根据各科室、二级机构的绩效自评材料进行分析，形成评价结论。</w:t>
      </w:r>
    </w:p>
    <w:p>
      <w:pPr>
        <w:numPr>
          <w:ilvl w:val="0"/>
          <w:numId w:val="3"/>
        </w:numPr>
        <w:topLinePunct/>
        <w:spacing w:beforeLines="0" w:afterLines="0" w:line="560" w:lineRule="exact"/>
        <w:ind w:firstLine="640" w:firstLineChars="200"/>
        <w:rPr>
          <w:rFonts w:hint="eastAsia" w:ascii="黑体" w:hAnsi="黑体" w:eastAsia="黑体"/>
          <w:sz w:val="32"/>
        </w:rPr>
      </w:pPr>
      <w:r>
        <w:rPr>
          <w:rFonts w:hint="eastAsia" w:ascii="黑体" w:hAnsi="黑体" w:eastAsia="黑体"/>
          <w:sz w:val="32"/>
        </w:rPr>
        <w:t>主要绩效及评价结论</w:t>
      </w:r>
    </w:p>
    <w:p>
      <w:pPr>
        <w:spacing w:beforeLines="0" w:afterLines="0"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2019年是益阳市应急管理局成立元年，职能整合、权责离合、人员磨合，全市应急管理工作在改革中摸索、在摸索中前进。对照《2019年部门整体支出绩效自评指标计分表》（见附件），我局自评得分92.2分，自评结论为“优”。</w:t>
      </w:r>
    </w:p>
    <w:p>
      <w:pPr>
        <w:widowControl/>
        <w:spacing w:beforeLines="0" w:afterLines="0" w:line="560" w:lineRule="exact"/>
        <w:ind w:firstLine="640" w:firstLineChars="200"/>
        <w:rPr>
          <w:rFonts w:hint="eastAsia" w:ascii="楷体" w:hAnsi="楷体" w:eastAsia="楷体"/>
          <w:sz w:val="32"/>
        </w:rPr>
      </w:pPr>
      <w:r>
        <w:rPr>
          <w:rFonts w:hint="eastAsia" w:ascii="楷体" w:hAnsi="楷体" w:eastAsia="楷体"/>
          <w:sz w:val="32"/>
        </w:rPr>
        <w:t>（一）高度重视，稳步推进应急管理机构改革</w:t>
      </w:r>
    </w:p>
    <w:p>
      <w:pPr>
        <w:widowControl/>
        <w:numPr>
          <w:ilvl w:val="0"/>
          <w:numId w:val="0"/>
        </w:numPr>
        <w:spacing w:beforeLines="0" w:afterLines="0" w:line="560" w:lineRule="exact"/>
        <w:ind w:firstLine="643" w:firstLineChars="200"/>
        <w:rPr>
          <w:rFonts w:hint="eastAsia" w:ascii="仿宋_GB2312" w:hAnsi="仿宋_GB2312" w:eastAsia="仿宋_GB2312"/>
          <w:sz w:val="32"/>
        </w:rPr>
      </w:pPr>
      <w:r>
        <w:rPr>
          <w:rFonts w:hint="eastAsia" w:ascii="仿宋_GB2312" w:hAnsi="仿宋_GB2312" w:eastAsia="仿宋_GB2312"/>
          <w:b/>
          <w:sz w:val="32"/>
        </w:rPr>
        <w:t>1、紧锣密鼓敲定三定方案。</w:t>
      </w:r>
      <w:r>
        <w:rPr>
          <w:rFonts w:hint="eastAsia" w:ascii="仿宋_GB2312" w:hAnsi="仿宋_GB2312" w:eastAsia="仿宋_GB2312"/>
          <w:sz w:val="32"/>
        </w:rPr>
        <w:t>根据上级方案并结合本市实际，市应急局机关行政编制43名，领导班子设1正3副1主任1总工，内设18个科室及机关党委，正科级、副科级领导职数分别为19个和9个；直属二级机构有地震局、应急救援指挥中心、执法支队和安全生产培训中心等4个，事业编制40名。</w:t>
      </w:r>
    </w:p>
    <w:p>
      <w:pPr>
        <w:widowControl/>
        <w:spacing w:beforeLines="0" w:afterLines="0" w:line="560" w:lineRule="exact"/>
        <w:ind w:firstLine="643" w:firstLineChars="200"/>
        <w:rPr>
          <w:rFonts w:hint="eastAsia" w:ascii="仿宋_GB2312" w:hAnsi="仿宋_GB2312" w:eastAsia="仿宋_GB2312"/>
          <w:sz w:val="32"/>
        </w:rPr>
      </w:pPr>
      <w:r>
        <w:rPr>
          <w:rFonts w:hint="eastAsia" w:ascii="仿宋_GB2312" w:hAnsi="仿宋_GB2312" w:eastAsia="仿宋_GB2312"/>
          <w:b/>
          <w:sz w:val="32"/>
        </w:rPr>
        <w:t>2、有条不紊加强队伍配备。</w:t>
      </w:r>
      <w:r>
        <w:rPr>
          <w:rFonts w:hint="eastAsia" w:ascii="仿宋_GB2312" w:hAnsi="仿宋_GB2312" w:eastAsia="仿宋_GB2312"/>
          <w:sz w:val="32"/>
        </w:rPr>
        <w:t>去年我单位逐步完成了人员转隶手续，截至12月31日，实有行政编制43人，事业编制15人，立足现有条件选优配强了应急管理力量，努力夯实了应急管理和安全生产的工作基础。</w:t>
      </w:r>
    </w:p>
    <w:p>
      <w:pPr>
        <w:widowControl/>
        <w:numPr>
          <w:ilvl w:val="0"/>
          <w:numId w:val="0"/>
        </w:numPr>
        <w:spacing w:beforeLines="0" w:afterLines="0" w:line="560" w:lineRule="exact"/>
        <w:ind w:firstLine="643" w:firstLineChars="200"/>
        <w:rPr>
          <w:rFonts w:hint="eastAsia" w:ascii="楷体_GB2312" w:hAnsi="楷体_GB2312" w:eastAsia="楷体_GB2312"/>
          <w:sz w:val="32"/>
        </w:rPr>
      </w:pPr>
      <w:r>
        <w:rPr>
          <w:rFonts w:hint="eastAsia" w:ascii="仿宋_GB2312" w:hAnsi="仿宋_GB2312" w:eastAsia="仿宋_GB2312"/>
          <w:b/>
          <w:sz w:val="32"/>
        </w:rPr>
        <w:t>3、循序渐进厘清职责权属</w:t>
      </w:r>
      <w:r>
        <w:rPr>
          <w:rFonts w:hint="eastAsia" w:ascii="楷体_GB2312" w:hAnsi="楷体_GB2312" w:eastAsia="楷体_GB2312"/>
          <w:b/>
          <w:sz w:val="32"/>
        </w:rPr>
        <w:t>。</w:t>
      </w:r>
      <w:r>
        <w:rPr>
          <w:rFonts w:hint="eastAsia" w:ascii="仿宋_GB2312" w:hAnsi="仿宋" w:eastAsia="仿宋_GB2312"/>
          <w:sz w:val="32"/>
        </w:rPr>
        <w:t>与水利、民政、林业、自然资源等部门加强了沟通对接，调整了防汛、减灾委，进一步理顺部门职责职能，逐步建立起高效快捷应急反应机制。</w:t>
      </w:r>
    </w:p>
    <w:p>
      <w:pPr>
        <w:widowControl/>
        <w:spacing w:beforeLines="0" w:afterLines="0" w:line="560" w:lineRule="exact"/>
        <w:ind w:firstLine="640" w:firstLineChars="200"/>
        <w:rPr>
          <w:rFonts w:hint="eastAsia" w:ascii="楷体" w:hAnsi="楷体" w:eastAsia="楷体"/>
          <w:sz w:val="32"/>
        </w:rPr>
      </w:pPr>
      <w:r>
        <w:rPr>
          <w:rFonts w:hint="eastAsia" w:ascii="楷体" w:hAnsi="楷体" w:eastAsia="楷体"/>
          <w:sz w:val="32"/>
        </w:rPr>
        <w:t>（二）强化监管，有效保障安全生产形势平稳</w:t>
      </w:r>
    </w:p>
    <w:p>
      <w:pPr>
        <w:widowControl/>
        <w:spacing w:beforeLines="0" w:afterLines="0" w:line="560" w:lineRule="exact"/>
        <w:ind w:firstLine="643" w:firstLineChars="200"/>
        <w:rPr>
          <w:rFonts w:hint="eastAsia" w:ascii="仿宋_GB2312" w:hAnsi="仿宋_GB2312" w:eastAsia="仿宋_GB2312"/>
          <w:sz w:val="32"/>
        </w:rPr>
      </w:pPr>
      <w:r>
        <w:rPr>
          <w:rFonts w:hint="eastAsia" w:ascii="仿宋_GB2312" w:hAnsi="仿宋_GB2312" w:eastAsia="仿宋_GB2312"/>
          <w:b/>
          <w:sz w:val="32"/>
        </w:rPr>
        <w:t>1、压实监管责任。</w:t>
      </w:r>
      <w:r>
        <w:rPr>
          <w:rFonts w:hint="eastAsia" w:ascii="仿宋_GB2312" w:hAnsi="仿宋_GB2312" w:eastAsia="仿宋_GB2312"/>
          <w:sz w:val="32"/>
        </w:rPr>
        <w:t>市安委会对各区县（市）进行了安全生产专项巡查，市级领导带队开展了4次安全生产大检查，市安委办组织3次暗访，市政府督查室牵头开展了2次专项督查，发出通报7期，挂牌督查重大隐患8个，下发隐患整改交办函35个，对事故多发的沅江市、交通局、住建局等地区和部门进行约谈3次，问责领导干部17人，层层传导监管责任，级级压实监管职责。</w:t>
      </w:r>
    </w:p>
    <w:p>
      <w:pPr>
        <w:adjustRightInd w:val="0"/>
        <w:snapToGrid w:val="0"/>
        <w:spacing w:beforeLines="0" w:afterLines="0" w:line="560" w:lineRule="exact"/>
        <w:ind w:firstLine="643" w:firstLineChars="200"/>
        <w:rPr>
          <w:rFonts w:hint="eastAsia" w:ascii="仿宋_GB2312" w:hAnsi="仿宋_GB2312" w:eastAsia="仿宋_GB2312"/>
          <w:sz w:val="32"/>
        </w:rPr>
      </w:pPr>
      <w:r>
        <w:rPr>
          <w:rFonts w:hint="eastAsia" w:ascii="仿宋_GB2312" w:hAnsi="仿宋_GB2312" w:eastAsia="仿宋_GB2312"/>
          <w:b/>
          <w:sz w:val="32"/>
        </w:rPr>
        <w:t>2、狠抓隐患排查。</w:t>
      </w:r>
      <w:r>
        <w:rPr>
          <w:rFonts w:hint="eastAsia" w:ascii="仿宋_GB2312" w:hAnsi="仿宋_GB2312" w:eastAsia="仿宋_GB2312"/>
          <w:sz w:val="32"/>
        </w:rPr>
        <w:t>今年我市将省安委部署的安全风险隐患“大排查大管控大整治”百日行动常态化，实行隐患动态“清零”。今年市县两级挂牌重大安全隐患122个，采取“一单四制”方式整改事故隐患1553个。市安委会及各专业分会开展执法行动56次，取缔非法生产经营窝点27处，关闭安全条件达不到要求的企业44家，责令停产停业整改35家。</w:t>
      </w:r>
    </w:p>
    <w:p>
      <w:pPr>
        <w:adjustRightInd w:val="0"/>
        <w:snapToGrid w:val="0"/>
        <w:spacing w:beforeLines="0" w:afterLines="0" w:line="560" w:lineRule="exact"/>
        <w:ind w:firstLine="643" w:firstLineChars="200"/>
        <w:rPr>
          <w:rFonts w:hint="eastAsia" w:ascii="仿宋_GB2312" w:hAnsi="仿宋_GB2312" w:eastAsia="仿宋_GB2312"/>
          <w:sz w:val="32"/>
        </w:rPr>
      </w:pPr>
      <w:r>
        <w:rPr>
          <w:rFonts w:hint="eastAsia" w:ascii="仿宋_GB2312" w:hAnsi="仿宋_GB2312" w:eastAsia="仿宋_GB2312"/>
          <w:b/>
          <w:sz w:val="32"/>
        </w:rPr>
        <w:t>3、严格行政执法。</w:t>
      </w:r>
      <w:r>
        <w:rPr>
          <w:rFonts w:hint="eastAsia" w:ascii="仿宋_GB2312" w:hAnsi="仿宋_GB2312" w:eastAsia="仿宋_GB2312"/>
          <w:sz w:val="32"/>
        </w:rPr>
        <w:t>今年全市应急管理系统安全生产类行政执法立案769起，行政处罚3655.8万元，对安全生产非法违法行为保持高压态势。</w:t>
      </w:r>
      <w:r>
        <w:rPr>
          <w:rFonts w:hint="eastAsia" w:ascii="仿宋_GB2312" w:hAnsi="仿宋" w:eastAsia="仿宋_GB2312"/>
          <w:sz w:val="32"/>
        </w:rPr>
        <w:t>加强司法衔接，</w:t>
      </w:r>
      <w:r>
        <w:rPr>
          <w:rFonts w:hint="eastAsia" w:ascii="仿宋_GB2312" w:hAnsi="仿宋_GB2312" w:eastAsia="仿宋_GB2312"/>
          <w:sz w:val="32"/>
        </w:rPr>
        <w:t>今年对1个拒不执行行政处罚的企业列入安全生产“黑名单”，对非法经营的资江气体公司移送公安机关立案查处，对企业法人进行了刑拘，将从快从重判决，对安全生产非法违法行为产生强烈震慑。</w:t>
      </w:r>
    </w:p>
    <w:p>
      <w:pPr>
        <w:widowControl/>
        <w:spacing w:beforeLines="0" w:afterLines="0" w:line="560" w:lineRule="exact"/>
        <w:ind w:firstLine="643" w:firstLineChars="200"/>
        <w:rPr>
          <w:rFonts w:hint="eastAsia" w:ascii="仿宋_GB2312" w:hAnsi="仿宋_GB2312" w:eastAsia="仿宋_GB2312"/>
          <w:sz w:val="32"/>
        </w:rPr>
      </w:pPr>
      <w:r>
        <w:rPr>
          <w:rFonts w:hint="eastAsia" w:ascii="仿宋_GB2312" w:hAnsi="仿宋_GB2312" w:eastAsia="仿宋_GB2312"/>
          <w:b/>
          <w:sz w:val="32"/>
        </w:rPr>
        <w:t>4、提升科技支撑。</w:t>
      </w:r>
      <w:r>
        <w:rPr>
          <w:rFonts w:hint="eastAsia" w:ascii="仿宋_GB2312" w:hAnsi="仿宋_GB2312" w:eastAsia="仿宋_GB2312"/>
          <w:sz w:val="32"/>
        </w:rPr>
        <w:t>加强智慧应急管理信息化平台建设，把应急指挥、安全监管、标准化创建、应急预案等工作信息化、网络化，向科技要生产力，不断提升安全监管效能和应急处置能力。益阳高新区的“微安监”安全监管信息化平台建设在园区企业安全监管模式上进行了有益探索，将逐步在全市经济开发区进行推广。赫山区准备成立应急管理委员会，由书记任政委，区长任主任，打造权威高效反应灵敏的信息化应急指挥中心。</w:t>
      </w:r>
    </w:p>
    <w:p>
      <w:pPr>
        <w:widowControl/>
        <w:spacing w:beforeLines="0" w:afterLines="0" w:line="560" w:lineRule="exact"/>
        <w:ind w:firstLine="640" w:firstLineChars="200"/>
        <w:rPr>
          <w:rFonts w:hint="eastAsia" w:ascii="楷体" w:hAnsi="楷体" w:eastAsia="楷体"/>
          <w:sz w:val="32"/>
        </w:rPr>
      </w:pPr>
      <w:r>
        <w:rPr>
          <w:rFonts w:hint="eastAsia" w:ascii="楷体" w:hAnsi="楷体" w:eastAsia="楷体"/>
          <w:sz w:val="32"/>
        </w:rPr>
        <w:t>（三）从容应对，充分显现应急管理工作成效</w:t>
      </w:r>
    </w:p>
    <w:p>
      <w:pPr>
        <w:widowControl/>
        <w:spacing w:beforeLines="0" w:afterLines="0"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年初，我市成功应对了低温冰雪天气，没有因极端天气造成重大安全事故和重大财产损失；加强了秋冬森林防火，发生一般森林火灾21起，未造成人员伤亡；成功应对了17次强降雨和重大汛情，在多地超警戒水位的情况下未溃一堤一垸，未造成人员伤亡；加强了防灾救灾工作，发放救灾资金1550万元及救灾物质2995件套，确保灾民得到有效救助，社会大局稳定。</w:t>
      </w:r>
    </w:p>
    <w:p>
      <w:pPr>
        <w:topLinePunct/>
        <w:spacing w:beforeLines="0" w:afterLines="0" w:line="560" w:lineRule="exact"/>
        <w:ind w:firstLine="640" w:firstLineChars="200"/>
        <w:rPr>
          <w:rFonts w:hint="eastAsia" w:ascii="黑体" w:hAnsi="黑体" w:eastAsia="黑体"/>
          <w:sz w:val="32"/>
        </w:rPr>
      </w:pPr>
      <w:r>
        <w:rPr>
          <w:rFonts w:hint="eastAsia" w:ascii="黑体" w:hAnsi="黑体" w:eastAsia="黑体"/>
          <w:sz w:val="32"/>
        </w:rPr>
        <w:t>四、存在的问题</w:t>
      </w:r>
    </w:p>
    <w:p>
      <w:pPr>
        <w:topLinePunct/>
        <w:spacing w:beforeLines="0" w:afterLines="0"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从2019年度部门整体支出绩效自评指标完成情况看，部门整体预算的编制、执行和管理过程以及职能发挥和履职效益总体较好，但也还存在以下问题：</w:t>
      </w:r>
    </w:p>
    <w:p>
      <w:pPr>
        <w:numPr>
          <w:ilvl w:val="0"/>
          <w:numId w:val="0"/>
        </w:numPr>
        <w:topLinePunct/>
        <w:spacing w:beforeLines="0" w:afterLines="0" w:line="560" w:lineRule="exact"/>
        <w:ind w:firstLine="643" w:firstLineChars="200"/>
        <w:rPr>
          <w:rFonts w:hint="eastAsia" w:ascii="仿宋_GB2312" w:hAnsi="仿宋_GB2312" w:eastAsia="仿宋_GB2312"/>
          <w:sz w:val="32"/>
        </w:rPr>
      </w:pPr>
      <w:r>
        <w:rPr>
          <w:rFonts w:hint="eastAsia" w:ascii="仿宋_GB2312" w:hAnsi="仿宋_GB2312" w:eastAsia="仿宋_GB2312"/>
          <w:b/>
          <w:sz w:val="32"/>
        </w:rPr>
        <w:t>1、结转结余控制率较低。</w:t>
      </w:r>
      <w:r>
        <w:rPr>
          <w:rFonts w:hint="eastAsia" w:ascii="仿宋_GB2312" w:hAnsi="仿宋_GB2312" w:eastAsia="仿宋_GB2312"/>
          <w:sz w:val="32"/>
        </w:rPr>
        <w:t>本年度结转结余资金较2018年将近增长一倍，虽有238万元的非税指标在途冻结未下达，实际结转结余资金依旧偏多。</w:t>
      </w:r>
    </w:p>
    <w:p>
      <w:pPr>
        <w:numPr>
          <w:ilvl w:val="0"/>
          <w:numId w:val="0"/>
        </w:numPr>
        <w:topLinePunct/>
        <w:spacing w:beforeLines="0" w:afterLines="0" w:line="560" w:lineRule="exact"/>
        <w:ind w:firstLine="643" w:firstLineChars="200"/>
        <w:rPr>
          <w:rFonts w:hint="eastAsia" w:ascii="黑体" w:hAnsi="黑体" w:eastAsia="黑体"/>
          <w:sz w:val="32"/>
        </w:rPr>
      </w:pPr>
      <w:r>
        <w:rPr>
          <w:rFonts w:hint="eastAsia" w:ascii="仿宋_GB2312" w:hAnsi="仿宋_GB2312" w:eastAsia="仿宋_GB2312"/>
          <w:b/>
          <w:sz w:val="32"/>
        </w:rPr>
        <w:t>2、预算完成率结构不优。</w:t>
      </w:r>
      <w:r>
        <w:rPr>
          <w:rFonts w:hint="eastAsia" w:ascii="仿宋_GB2312" w:hAnsi="仿宋_GB2312" w:eastAsia="仿宋_GB2312"/>
          <w:sz w:val="32"/>
        </w:rPr>
        <w:t>整体看预算完成率超100%，具体而言，基本支出经费预算完成率和预算控制率均较好，但项目收支中部分项目因受机构改革等因素影响，造成指标下达时间较晚</w:t>
      </w:r>
      <w:r>
        <w:rPr>
          <w:rFonts w:hint="eastAsia" w:ascii="仿宋_GB2312" w:hAnsi="仿宋_GB2312" w:eastAsia="仿宋_GB2312"/>
          <w:color w:val="333333"/>
          <w:sz w:val="32"/>
          <w:shd w:val="clear" w:color="auto" w:fill="FFFFFF"/>
        </w:rPr>
        <w:t>，</w:t>
      </w:r>
      <w:r>
        <w:rPr>
          <w:rFonts w:hint="eastAsia" w:ascii="仿宋_GB2312" w:hAnsi="仿宋_GB2312" w:eastAsia="仿宋_GB2312"/>
          <w:sz w:val="32"/>
        </w:rPr>
        <w:t>导致资金未能及时使用</w:t>
      </w:r>
      <w:r>
        <w:rPr>
          <w:rFonts w:hint="eastAsia" w:ascii="仿宋_GB2312" w:hAnsi="仿宋_GB2312" w:eastAsia="仿宋_GB2312"/>
          <w:color w:val="333333"/>
          <w:sz w:val="32"/>
          <w:shd w:val="clear" w:color="auto" w:fill="FFFFFF"/>
        </w:rPr>
        <w:t>。</w:t>
      </w:r>
    </w:p>
    <w:p>
      <w:pPr>
        <w:topLinePunct/>
        <w:spacing w:beforeLines="0" w:afterLines="0" w:line="560" w:lineRule="exact"/>
        <w:ind w:firstLine="640" w:firstLineChars="200"/>
        <w:rPr>
          <w:rFonts w:hint="eastAsia" w:ascii="黑体" w:hAnsi="黑体" w:eastAsia="黑体"/>
          <w:sz w:val="32"/>
        </w:rPr>
      </w:pPr>
      <w:r>
        <w:rPr>
          <w:rFonts w:hint="eastAsia" w:ascii="黑体" w:hAnsi="黑体" w:eastAsia="黑体"/>
          <w:sz w:val="32"/>
        </w:rPr>
        <w:t>五、下一步改进措施</w:t>
      </w:r>
    </w:p>
    <w:p>
      <w:pPr>
        <w:spacing w:beforeLines="0" w:afterLines="0" w:line="560" w:lineRule="exact"/>
        <w:ind w:firstLine="640" w:firstLineChars="200"/>
        <w:rPr>
          <w:rFonts w:hint="eastAsia" w:ascii="楷体" w:hAnsi="楷体" w:eastAsia="楷体"/>
          <w:sz w:val="32"/>
        </w:rPr>
      </w:pPr>
      <w:r>
        <w:rPr>
          <w:rFonts w:hint="eastAsia" w:ascii="楷体" w:hAnsi="楷体" w:eastAsia="楷体"/>
          <w:sz w:val="32"/>
        </w:rPr>
        <w:t>（一）持续推进预算编制“科学化”</w:t>
      </w:r>
    </w:p>
    <w:p>
      <w:pPr>
        <w:spacing w:beforeLines="0" w:afterLines="0"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本着“实事求是、勤俭节约、量入为出、收支平衡”的原则进行预算编制，严格预算编制的相关制度和要求,规范预算编制程序。进一步提高局各内设科室、二级机构预算编制的参与意识和参与程度,形成“编制全面参与、成果全面共享”的良好局面，不断提高预算编制的科学化和精细化水平。</w:t>
      </w:r>
    </w:p>
    <w:p>
      <w:pPr>
        <w:spacing w:beforeLines="0" w:afterLines="0" w:line="560" w:lineRule="exact"/>
        <w:ind w:firstLine="640" w:firstLineChars="200"/>
        <w:rPr>
          <w:rFonts w:hint="eastAsia" w:ascii="楷体" w:hAnsi="楷体" w:eastAsia="楷体"/>
          <w:sz w:val="32"/>
        </w:rPr>
      </w:pPr>
      <w:r>
        <w:rPr>
          <w:rFonts w:hint="eastAsia" w:ascii="楷体" w:hAnsi="楷体" w:eastAsia="楷体"/>
          <w:sz w:val="32"/>
        </w:rPr>
        <w:t>（二）持续加强预算执行“规范化”</w:t>
      </w:r>
    </w:p>
    <w:p>
      <w:pPr>
        <w:spacing w:beforeLines="0" w:afterLines="0"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进一步强化预算执行和预算约束，严把预算追加关，做到“无预算不开支”；坚持目标导向，积极开展预算支出绩效评价，确保完成既定绩效目标,做到“花钱必问效”；充分发挥资金的使用效益,积极压减年末结转结余资金规模,减存量遏增量，有效提高预算执行率和结转结余控制率。</w:t>
      </w:r>
    </w:p>
    <w:p>
      <w:pPr>
        <w:spacing w:beforeLines="0" w:afterLines="0" w:line="560" w:lineRule="exact"/>
        <w:ind w:firstLine="640" w:firstLineChars="200"/>
        <w:rPr>
          <w:rFonts w:hint="eastAsia" w:ascii="仿宋_GB2312" w:hAnsi="仿宋_GB2312" w:eastAsia="仿宋_GB2312"/>
          <w:sz w:val="32"/>
        </w:rPr>
      </w:pPr>
      <w:r>
        <w:rPr>
          <w:rFonts w:hint="eastAsia" w:eastAsia="黑体"/>
          <w:sz w:val="32"/>
        </w:rPr>
        <w:t>六、其他需要说明的问题</w:t>
      </w:r>
    </w:p>
    <w:p>
      <w:pPr>
        <w:topLinePunct/>
        <w:spacing w:beforeLines="0" w:afterLines="0" w:line="560" w:lineRule="exact"/>
        <w:ind w:firstLine="640" w:firstLineChars="200"/>
        <w:rPr>
          <w:rFonts w:hint="eastAsia" w:eastAsia="仿宋_GB2312"/>
          <w:sz w:val="32"/>
        </w:rPr>
      </w:pPr>
      <w:r>
        <w:rPr>
          <w:rFonts w:hint="eastAsia" w:eastAsia="仿宋_GB2312"/>
          <w:sz w:val="32"/>
        </w:rPr>
        <w:t>无。</w:t>
      </w:r>
    </w:p>
    <w:p>
      <w:pPr>
        <w:topLinePunct/>
        <w:spacing w:beforeLines="0" w:afterLines="0" w:line="560" w:lineRule="exact"/>
        <w:rPr>
          <w:rFonts w:hint="eastAsia" w:eastAsia="仿宋_GB2312"/>
          <w:sz w:val="32"/>
        </w:rPr>
      </w:pPr>
    </w:p>
    <w:p>
      <w:pPr>
        <w:spacing w:beforeLines="0" w:afterLines="0" w:line="552" w:lineRule="exact"/>
        <w:ind w:firstLine="640" w:firstLineChars="200"/>
        <w:rPr>
          <w:rFonts w:hint="eastAsia" w:ascii="仿宋_GB2312" w:hAnsi="仿宋_GB2312" w:eastAsia="仿宋_GB2312"/>
          <w:sz w:val="32"/>
        </w:rPr>
      </w:pPr>
      <w:r>
        <w:rPr>
          <w:rFonts w:hint="eastAsia" w:ascii="仿宋_GB2312" w:hAnsi="仿宋_GB2312" w:eastAsia="仿宋_GB2312"/>
          <w:sz w:val="32"/>
        </w:rPr>
        <w:t>附件：2019年部门整体支出绩效自评指标计分表</w:t>
      </w:r>
    </w:p>
    <w:p>
      <w:pPr>
        <w:jc w:val="left"/>
        <w:rPr>
          <w:rFonts w:ascii="仿宋" w:hAnsi="仿宋" w:eastAsia="仿宋" w:cs="仿宋"/>
          <w:sz w:val="32"/>
        </w:rPr>
      </w:pPr>
    </w:p>
    <w:p>
      <w:pPr>
        <w:jc w:val="left"/>
        <w:rPr>
          <w:rFonts w:ascii="仿宋" w:hAnsi="仿宋" w:eastAsia="仿宋" w:cs="仿宋"/>
          <w:sz w:val="32"/>
        </w:rPr>
      </w:pPr>
    </w:p>
    <w:p>
      <w:pPr>
        <w:rPr>
          <w:rFonts w:hint="eastAsia" w:ascii="黑体" w:eastAsia="黑体"/>
          <w:szCs w:val="32"/>
        </w:rPr>
      </w:pPr>
    </w:p>
    <w:p>
      <w:pPr>
        <w:rPr>
          <w:rFonts w:hint="eastAsia" w:ascii="黑体" w:eastAsia="黑体"/>
          <w:sz w:val="32"/>
          <w:szCs w:val="32"/>
        </w:rPr>
      </w:pPr>
      <w:r>
        <w:rPr>
          <w:rFonts w:hint="eastAsia" w:ascii="黑体" w:eastAsia="黑体"/>
          <w:sz w:val="32"/>
          <w:szCs w:val="32"/>
        </w:rPr>
        <w:t>附件：</w:t>
      </w:r>
    </w:p>
    <w:tbl>
      <w:tblPr>
        <w:tblStyle w:val="5"/>
        <w:tblW w:w="5056" w:type="pct"/>
        <w:tblInd w:w="0" w:type="dxa"/>
        <w:tblLayout w:type="fixed"/>
        <w:tblCellMar>
          <w:top w:w="0" w:type="dxa"/>
          <w:left w:w="0" w:type="dxa"/>
          <w:bottom w:w="0" w:type="dxa"/>
          <w:right w:w="0" w:type="dxa"/>
        </w:tblCellMar>
      </w:tblPr>
      <w:tblGrid>
        <w:gridCol w:w="547"/>
        <w:gridCol w:w="570"/>
        <w:gridCol w:w="703"/>
        <w:gridCol w:w="446"/>
        <w:gridCol w:w="2976"/>
        <w:gridCol w:w="3722"/>
      </w:tblGrid>
      <w:tr>
        <w:tblPrEx>
          <w:tblCellMar>
            <w:top w:w="0" w:type="dxa"/>
            <w:left w:w="0" w:type="dxa"/>
            <w:bottom w:w="0" w:type="dxa"/>
            <w:right w:w="0" w:type="dxa"/>
          </w:tblCellMar>
        </w:tblPrEx>
        <w:trPr>
          <w:tblHeader/>
        </w:trPr>
        <w:tc>
          <w:tcPr>
            <w:tcW w:w="5000" w:type="pct"/>
            <w:gridSpan w:val="6"/>
            <w:tcBorders>
              <w:bottom w:val="single" w:color="auto" w:sz="4" w:space="0"/>
            </w:tcBorders>
            <w:noWrap w:val="0"/>
            <w:tcMar>
              <w:top w:w="10" w:type="dxa"/>
              <w:left w:w="10" w:type="dxa"/>
              <w:bottom w:w="0" w:type="dxa"/>
              <w:right w:w="10" w:type="dxa"/>
            </w:tcMar>
            <w:vAlign w:val="center"/>
          </w:tcPr>
          <w:p>
            <w:pPr>
              <w:jc w:val="center"/>
              <w:rPr>
                <w:rFonts w:hint="eastAsia" w:ascii="黑体" w:eastAsia="黑体"/>
                <w:bCs/>
                <w:sz w:val="36"/>
                <w:szCs w:val="36"/>
              </w:rPr>
            </w:pPr>
            <w:r>
              <w:rPr>
                <w:rFonts w:hint="eastAsia" w:ascii="黑体" w:eastAsia="黑体"/>
                <w:bCs/>
                <w:sz w:val="36"/>
                <w:szCs w:val="36"/>
              </w:rPr>
              <w:t>201</w:t>
            </w:r>
            <w:r>
              <w:rPr>
                <w:rFonts w:hint="eastAsia" w:ascii="黑体" w:eastAsia="黑体"/>
                <w:bCs/>
                <w:sz w:val="36"/>
                <w:szCs w:val="36"/>
                <w:lang w:val="en-US" w:eastAsia="zh-CN"/>
              </w:rPr>
              <w:t>9</w:t>
            </w:r>
            <w:r>
              <w:rPr>
                <w:rFonts w:hint="eastAsia" w:ascii="黑体" w:eastAsia="黑体"/>
                <w:bCs/>
                <w:sz w:val="36"/>
                <w:szCs w:val="36"/>
              </w:rPr>
              <w:t>年度部门整体支出绩效自评指标计分表</w:t>
            </w:r>
          </w:p>
          <w:p>
            <w:pPr>
              <w:jc w:val="center"/>
              <w:rPr>
                <w:rFonts w:hint="eastAsia" w:ascii="仿宋_GB2312"/>
                <w:bCs/>
                <w:sz w:val="21"/>
                <w:szCs w:val="21"/>
              </w:rPr>
            </w:pPr>
          </w:p>
        </w:tc>
      </w:tr>
      <w:tr>
        <w:tblPrEx>
          <w:tblCellMar>
            <w:top w:w="0" w:type="dxa"/>
            <w:left w:w="0" w:type="dxa"/>
            <w:bottom w:w="0" w:type="dxa"/>
            <w:right w:w="0" w:type="dxa"/>
          </w:tblCellMar>
        </w:tblPrEx>
        <w:trPr>
          <w:trHeight w:val="567" w:hRule="atLeast"/>
          <w:tblHeader/>
        </w:trPr>
        <w:tc>
          <w:tcPr>
            <w:tcW w:w="305"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bCs/>
                <w:sz w:val="21"/>
                <w:szCs w:val="21"/>
              </w:rPr>
            </w:pPr>
            <w:r>
              <w:rPr>
                <w:rFonts w:hint="eastAsia" w:ascii="仿宋_GB2312"/>
                <w:bCs/>
                <w:sz w:val="21"/>
                <w:szCs w:val="21"/>
              </w:rPr>
              <w:t>一级</w:t>
            </w:r>
            <w:r>
              <w:rPr>
                <w:rFonts w:hint="eastAsia" w:ascii="仿宋_GB2312"/>
                <w:bCs/>
                <w:sz w:val="21"/>
                <w:szCs w:val="21"/>
              </w:rPr>
              <w:br w:type="textWrapping"/>
            </w:r>
            <w:r>
              <w:rPr>
                <w:rFonts w:hint="eastAsia" w:ascii="仿宋_GB2312"/>
                <w:bCs/>
                <w:sz w:val="21"/>
                <w:szCs w:val="21"/>
              </w:rPr>
              <w:t>指标</w:t>
            </w:r>
          </w:p>
        </w:tc>
        <w:tc>
          <w:tcPr>
            <w:tcW w:w="317" w:type="pct"/>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bCs/>
                <w:sz w:val="21"/>
                <w:szCs w:val="21"/>
              </w:rPr>
            </w:pPr>
            <w:r>
              <w:rPr>
                <w:rFonts w:hint="eastAsia" w:ascii="仿宋_GB2312"/>
                <w:bCs/>
                <w:sz w:val="21"/>
                <w:szCs w:val="21"/>
              </w:rPr>
              <w:t>二级指标</w:t>
            </w:r>
          </w:p>
        </w:tc>
        <w:tc>
          <w:tcPr>
            <w:tcW w:w="392" w:type="pct"/>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bCs/>
                <w:sz w:val="21"/>
                <w:szCs w:val="21"/>
              </w:rPr>
            </w:pPr>
            <w:r>
              <w:rPr>
                <w:rFonts w:hint="eastAsia" w:ascii="仿宋_GB2312"/>
                <w:bCs/>
                <w:sz w:val="21"/>
                <w:szCs w:val="21"/>
              </w:rPr>
              <w:t>三级指标</w:t>
            </w:r>
          </w:p>
        </w:tc>
        <w:tc>
          <w:tcPr>
            <w:tcW w:w="248" w:type="pct"/>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bCs/>
                <w:sz w:val="21"/>
                <w:szCs w:val="21"/>
              </w:rPr>
            </w:pPr>
            <w:r>
              <w:rPr>
                <w:rFonts w:hint="eastAsia" w:ascii="仿宋_GB2312"/>
                <w:bCs/>
                <w:sz w:val="21"/>
                <w:szCs w:val="21"/>
              </w:rPr>
              <w:t>自评分</w:t>
            </w:r>
          </w:p>
        </w:tc>
        <w:tc>
          <w:tcPr>
            <w:tcW w:w="1659"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bCs/>
                <w:sz w:val="21"/>
                <w:szCs w:val="21"/>
              </w:rPr>
            </w:pPr>
            <w:r>
              <w:rPr>
                <w:rFonts w:hint="eastAsia" w:ascii="仿宋_GB2312"/>
                <w:bCs/>
                <w:sz w:val="21"/>
                <w:szCs w:val="21"/>
              </w:rPr>
              <w:t>指标解释</w:t>
            </w:r>
          </w:p>
        </w:tc>
        <w:tc>
          <w:tcPr>
            <w:tcW w:w="2076" w:type="pct"/>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bCs/>
                <w:sz w:val="21"/>
                <w:szCs w:val="21"/>
              </w:rPr>
            </w:pPr>
            <w:r>
              <w:rPr>
                <w:rFonts w:hint="eastAsia" w:ascii="仿宋_GB2312"/>
                <w:bCs/>
                <w:sz w:val="21"/>
                <w:szCs w:val="21"/>
              </w:rPr>
              <w:t>指标说明</w:t>
            </w:r>
          </w:p>
        </w:tc>
      </w:tr>
      <w:tr>
        <w:tblPrEx>
          <w:tblCellMar>
            <w:top w:w="0" w:type="dxa"/>
            <w:left w:w="0" w:type="dxa"/>
            <w:bottom w:w="0" w:type="dxa"/>
            <w:right w:w="0" w:type="dxa"/>
          </w:tblCellMar>
        </w:tblPrEx>
        <w:trPr>
          <w:trHeight w:val="567" w:hRule="atLeast"/>
        </w:trPr>
        <w:tc>
          <w:tcPr>
            <w:tcW w:w="305" w:type="pct"/>
            <w:vMerge w:val="restart"/>
            <w:tcBorders>
              <w:top w:val="nil"/>
              <w:left w:val="single" w:color="auto" w:sz="4" w:space="0"/>
              <w:bottom w:val="single" w:color="auto" w:sz="4" w:space="0"/>
              <w:right w:val="single" w:color="auto" w:sz="4" w:space="0"/>
            </w:tcBorders>
            <w:noWrap/>
            <w:tcMar>
              <w:top w:w="10" w:type="dxa"/>
              <w:left w:w="10" w:type="dxa"/>
              <w:bottom w:w="0" w:type="dxa"/>
              <w:right w:w="10" w:type="dxa"/>
            </w:tcMar>
            <w:textDirection w:val="tbRlV"/>
            <w:vAlign w:val="center"/>
          </w:tcPr>
          <w:p>
            <w:pPr>
              <w:spacing w:line="240" w:lineRule="exact"/>
              <w:jc w:val="center"/>
              <w:rPr>
                <w:rFonts w:hint="eastAsia" w:ascii="仿宋_GB2312"/>
                <w:sz w:val="21"/>
                <w:szCs w:val="21"/>
              </w:rPr>
            </w:pPr>
            <w:r>
              <w:rPr>
                <w:rFonts w:hint="eastAsia" w:ascii="仿宋_GB2312"/>
                <w:sz w:val="21"/>
                <w:szCs w:val="21"/>
              </w:rPr>
              <w:t>投   入（20分）</w:t>
            </w:r>
          </w:p>
        </w:tc>
        <w:tc>
          <w:tcPr>
            <w:tcW w:w="317" w:type="pct"/>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目标</w:t>
            </w:r>
            <w:r>
              <w:rPr>
                <w:rFonts w:hint="eastAsia" w:ascii="仿宋_GB2312"/>
                <w:sz w:val="21"/>
                <w:szCs w:val="21"/>
              </w:rPr>
              <w:br w:type="textWrapping"/>
            </w:r>
            <w:r>
              <w:rPr>
                <w:rFonts w:hint="eastAsia" w:ascii="仿宋_GB2312"/>
                <w:sz w:val="21"/>
                <w:szCs w:val="21"/>
              </w:rPr>
              <w:t>设定（5分）</w:t>
            </w:r>
          </w:p>
        </w:tc>
        <w:tc>
          <w:tcPr>
            <w:tcW w:w="392" w:type="pc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绩效目标合理性（2分）</w:t>
            </w:r>
          </w:p>
        </w:tc>
        <w:tc>
          <w:tcPr>
            <w:tcW w:w="248" w:type="pct"/>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2</w:t>
            </w:r>
          </w:p>
        </w:tc>
        <w:tc>
          <w:tcPr>
            <w:tcW w:w="1659" w:type="pc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r>
              <w:rPr>
                <w:rFonts w:hint="eastAsia" w:ascii="仿宋_GB2312"/>
                <w:sz w:val="21"/>
                <w:szCs w:val="21"/>
              </w:rPr>
              <w:t>部门所设立的整体绩效目标依据是否充分，是否符合客观实际，用以反映和考核部门整体绩效目标与部门履职、年度工作任务的相符性情况。</w:t>
            </w:r>
          </w:p>
        </w:tc>
        <w:tc>
          <w:tcPr>
            <w:tcW w:w="2076" w:type="pc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sz w:val="21"/>
                <w:szCs w:val="21"/>
              </w:rPr>
            </w:pPr>
            <w:r>
              <w:rPr>
                <w:rFonts w:hint="eastAsia" w:ascii="仿宋_GB2312"/>
                <w:sz w:val="21"/>
                <w:szCs w:val="21"/>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567" w:hRule="atLeast"/>
        </w:trPr>
        <w:tc>
          <w:tcPr>
            <w:tcW w:w="305" w:type="pct"/>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317" w:type="pct"/>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392" w:type="pc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绩效指标明确性（3分）</w:t>
            </w:r>
          </w:p>
        </w:tc>
        <w:tc>
          <w:tcPr>
            <w:tcW w:w="248" w:type="pct"/>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3</w:t>
            </w:r>
          </w:p>
        </w:tc>
        <w:tc>
          <w:tcPr>
            <w:tcW w:w="1659" w:type="pc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r>
              <w:rPr>
                <w:rFonts w:hint="eastAsia" w:ascii="仿宋_GB2312"/>
                <w:sz w:val="21"/>
                <w:szCs w:val="21"/>
              </w:rPr>
              <w:t>部门依据整体绩效目标所设定的绩效指标是否清晰、细化、可衡量，用以反映和考核部门整体绩效目标的明细化情况。</w:t>
            </w:r>
          </w:p>
        </w:tc>
        <w:tc>
          <w:tcPr>
            <w:tcW w:w="2076" w:type="pc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sz w:val="21"/>
                <w:szCs w:val="21"/>
              </w:rPr>
            </w:pPr>
            <w:r>
              <w:rPr>
                <w:rFonts w:hint="eastAsia" w:ascii="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567" w:hRule="atLeast"/>
        </w:trPr>
        <w:tc>
          <w:tcPr>
            <w:tcW w:w="305" w:type="pct"/>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317" w:type="pct"/>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预算</w:t>
            </w:r>
            <w:r>
              <w:rPr>
                <w:rFonts w:hint="eastAsia" w:ascii="仿宋_GB2312"/>
                <w:sz w:val="21"/>
                <w:szCs w:val="21"/>
              </w:rPr>
              <w:br w:type="textWrapping"/>
            </w:r>
            <w:r>
              <w:rPr>
                <w:rFonts w:hint="eastAsia" w:ascii="仿宋_GB2312"/>
                <w:sz w:val="21"/>
                <w:szCs w:val="21"/>
              </w:rPr>
              <w:t>配置（15分）</w:t>
            </w:r>
          </w:p>
        </w:tc>
        <w:tc>
          <w:tcPr>
            <w:tcW w:w="392" w:type="pc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在职人员控制率（5分）</w:t>
            </w:r>
          </w:p>
        </w:tc>
        <w:tc>
          <w:tcPr>
            <w:tcW w:w="248" w:type="pct"/>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5</w:t>
            </w:r>
          </w:p>
        </w:tc>
        <w:tc>
          <w:tcPr>
            <w:tcW w:w="1659" w:type="pc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r>
              <w:rPr>
                <w:rFonts w:hint="eastAsia" w:ascii="仿宋_GB2312"/>
                <w:sz w:val="21"/>
                <w:szCs w:val="21"/>
              </w:rPr>
              <w:t>部门本年度实际在职人员数与编制数的比率，用以反映和考核部门对人员成本的控制程度。</w:t>
            </w:r>
          </w:p>
        </w:tc>
        <w:tc>
          <w:tcPr>
            <w:tcW w:w="2076" w:type="pc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sz w:val="21"/>
                <w:szCs w:val="21"/>
              </w:rPr>
            </w:pPr>
            <w:r>
              <w:rPr>
                <w:rFonts w:hint="eastAsia" w:ascii="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567" w:hRule="atLeast"/>
        </w:trPr>
        <w:tc>
          <w:tcPr>
            <w:tcW w:w="305" w:type="pct"/>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317" w:type="pct"/>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392" w:type="pc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“三公经费”</w:t>
            </w:r>
          </w:p>
          <w:p>
            <w:pPr>
              <w:spacing w:line="240" w:lineRule="exact"/>
              <w:jc w:val="center"/>
              <w:rPr>
                <w:rFonts w:hint="eastAsia" w:ascii="仿宋_GB2312"/>
                <w:sz w:val="21"/>
                <w:szCs w:val="21"/>
              </w:rPr>
            </w:pPr>
            <w:r>
              <w:rPr>
                <w:rFonts w:hint="eastAsia" w:ascii="仿宋_GB2312"/>
                <w:sz w:val="21"/>
                <w:szCs w:val="21"/>
              </w:rPr>
              <w:t>变动率（5分）</w:t>
            </w:r>
          </w:p>
        </w:tc>
        <w:tc>
          <w:tcPr>
            <w:tcW w:w="248" w:type="pct"/>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5</w:t>
            </w:r>
          </w:p>
        </w:tc>
        <w:tc>
          <w:tcPr>
            <w:tcW w:w="1659" w:type="pc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r>
              <w:rPr>
                <w:rFonts w:hint="eastAsia" w:ascii="仿宋_GB2312"/>
                <w:sz w:val="21"/>
                <w:szCs w:val="21"/>
              </w:rPr>
              <w:t>部门本年度“三公经费”预算数与上年度“三公经费”预算数的变动比率，用以反映和考核部门对控制重点行政成本的努力程度。</w:t>
            </w:r>
          </w:p>
        </w:tc>
        <w:tc>
          <w:tcPr>
            <w:tcW w:w="2076" w:type="pc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sz w:val="21"/>
                <w:szCs w:val="21"/>
              </w:rPr>
            </w:pPr>
            <w:r>
              <w:rPr>
                <w:rFonts w:hint="eastAsia" w:ascii="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567" w:hRule="atLeast"/>
        </w:trPr>
        <w:tc>
          <w:tcPr>
            <w:tcW w:w="305" w:type="pct"/>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317" w:type="pct"/>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392" w:type="pc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重点支出安排率（5分）</w:t>
            </w:r>
          </w:p>
        </w:tc>
        <w:tc>
          <w:tcPr>
            <w:tcW w:w="248" w:type="pct"/>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3</w:t>
            </w:r>
          </w:p>
        </w:tc>
        <w:tc>
          <w:tcPr>
            <w:tcW w:w="1659" w:type="pc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r>
              <w:rPr>
                <w:rFonts w:hint="eastAsia" w:ascii="仿宋_GB2312"/>
                <w:sz w:val="21"/>
                <w:szCs w:val="21"/>
              </w:rPr>
              <w:t>部门本年度预算安排的重点项目支出与部门项目总支出的比率，用以反映和考核部门对履行主要职责或完成重点任务的保障程度。</w:t>
            </w:r>
          </w:p>
        </w:tc>
        <w:tc>
          <w:tcPr>
            <w:tcW w:w="2076" w:type="pc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sz w:val="21"/>
                <w:szCs w:val="21"/>
              </w:rPr>
            </w:pPr>
            <w:r>
              <w:rPr>
                <w:rFonts w:hint="eastAsia" w:ascii="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567" w:hRule="atLeast"/>
        </w:trPr>
        <w:tc>
          <w:tcPr>
            <w:tcW w:w="305" w:type="pct"/>
            <w:vMerge w:val="restart"/>
            <w:tcBorders>
              <w:top w:val="nil"/>
              <w:left w:val="single" w:color="auto" w:sz="4" w:space="0"/>
              <w:right w:val="single" w:color="auto" w:sz="4" w:space="0"/>
            </w:tcBorders>
            <w:noWrap/>
            <w:tcMar>
              <w:top w:w="10" w:type="dxa"/>
              <w:left w:w="10" w:type="dxa"/>
              <w:bottom w:w="0" w:type="dxa"/>
              <w:right w:w="10" w:type="dxa"/>
            </w:tcMar>
            <w:textDirection w:val="tbRlV"/>
            <w:vAlign w:val="center"/>
          </w:tcPr>
          <w:p>
            <w:pPr>
              <w:spacing w:line="240" w:lineRule="exact"/>
              <w:jc w:val="center"/>
              <w:rPr>
                <w:rFonts w:hint="eastAsia" w:ascii="仿宋_GB2312"/>
                <w:sz w:val="21"/>
                <w:szCs w:val="21"/>
              </w:rPr>
            </w:pPr>
            <w:r>
              <w:rPr>
                <w:rFonts w:hint="eastAsia" w:ascii="仿宋_GB2312"/>
                <w:sz w:val="21"/>
                <w:szCs w:val="21"/>
              </w:rPr>
              <w:t>过             程（30分）</w:t>
            </w:r>
          </w:p>
        </w:tc>
        <w:tc>
          <w:tcPr>
            <w:tcW w:w="317" w:type="pct"/>
            <w:vMerge w:val="restart"/>
            <w:tcBorders>
              <w:top w:val="nil"/>
              <w:left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预算</w:t>
            </w:r>
            <w:r>
              <w:rPr>
                <w:rFonts w:hint="eastAsia" w:ascii="仿宋_GB2312"/>
                <w:sz w:val="21"/>
                <w:szCs w:val="21"/>
              </w:rPr>
              <w:br w:type="textWrapping"/>
            </w:r>
            <w:r>
              <w:rPr>
                <w:rFonts w:hint="eastAsia" w:ascii="仿宋_GB2312"/>
                <w:sz w:val="21"/>
                <w:szCs w:val="21"/>
              </w:rPr>
              <w:t>执行</w:t>
            </w:r>
          </w:p>
          <w:p>
            <w:pPr>
              <w:spacing w:line="240" w:lineRule="exact"/>
              <w:jc w:val="center"/>
              <w:rPr>
                <w:rFonts w:hint="eastAsia" w:ascii="仿宋_GB2312"/>
                <w:sz w:val="21"/>
                <w:szCs w:val="21"/>
              </w:rPr>
            </w:pPr>
            <w:r>
              <w:rPr>
                <w:rFonts w:hint="eastAsia" w:ascii="仿宋_GB2312"/>
                <w:sz w:val="21"/>
                <w:szCs w:val="21"/>
              </w:rPr>
              <w:t>（20分）</w:t>
            </w:r>
          </w:p>
        </w:tc>
        <w:tc>
          <w:tcPr>
            <w:tcW w:w="392" w:type="pc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预算完成率（4分）</w:t>
            </w:r>
          </w:p>
        </w:tc>
        <w:tc>
          <w:tcPr>
            <w:tcW w:w="248" w:type="pct"/>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4</w:t>
            </w:r>
          </w:p>
        </w:tc>
        <w:tc>
          <w:tcPr>
            <w:tcW w:w="1659" w:type="pc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r>
              <w:rPr>
                <w:rFonts w:hint="eastAsia" w:ascii="仿宋_GB2312"/>
                <w:sz w:val="21"/>
                <w:szCs w:val="21"/>
              </w:rPr>
              <w:t>部门本年度预算完成数与预算数的比率，用以反映和考核部门预算完成程度。</w:t>
            </w:r>
          </w:p>
        </w:tc>
        <w:tc>
          <w:tcPr>
            <w:tcW w:w="2076" w:type="pc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sz w:val="21"/>
                <w:szCs w:val="21"/>
              </w:rPr>
            </w:pPr>
            <w:r>
              <w:rPr>
                <w:rFonts w:hint="eastAsia" w:ascii="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567" w:hRule="atLeast"/>
        </w:trPr>
        <w:tc>
          <w:tcPr>
            <w:tcW w:w="305" w:type="pct"/>
            <w:vMerge w:val="continue"/>
            <w:tcBorders>
              <w:left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317" w:type="pct"/>
            <w:vMerge w:val="continue"/>
            <w:tcBorders>
              <w:left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392" w:type="pc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预算调整率（2分）</w:t>
            </w:r>
          </w:p>
        </w:tc>
        <w:tc>
          <w:tcPr>
            <w:tcW w:w="248" w:type="pct"/>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1</w:t>
            </w:r>
          </w:p>
        </w:tc>
        <w:tc>
          <w:tcPr>
            <w:tcW w:w="1659" w:type="pc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r>
              <w:rPr>
                <w:rFonts w:hint="eastAsia" w:ascii="仿宋_GB2312"/>
                <w:sz w:val="21"/>
                <w:szCs w:val="21"/>
              </w:rPr>
              <w:t>部门本年度预算调整数与预算数的比率，用以反映和考核部门预算的调整程度。</w:t>
            </w:r>
          </w:p>
        </w:tc>
        <w:tc>
          <w:tcPr>
            <w:tcW w:w="2076" w:type="pc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sz w:val="21"/>
                <w:szCs w:val="21"/>
              </w:rPr>
            </w:pPr>
            <w:r>
              <w:rPr>
                <w:rFonts w:hint="eastAsia" w:ascii="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567" w:hRule="atLeast"/>
        </w:trPr>
        <w:tc>
          <w:tcPr>
            <w:tcW w:w="305" w:type="pct"/>
            <w:vMerge w:val="continue"/>
            <w:tcBorders>
              <w:left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317" w:type="pct"/>
            <w:vMerge w:val="continue"/>
            <w:tcBorders>
              <w:left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392" w:type="pc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支付进度率（2分）</w:t>
            </w:r>
          </w:p>
        </w:tc>
        <w:tc>
          <w:tcPr>
            <w:tcW w:w="248" w:type="pct"/>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2</w:t>
            </w:r>
          </w:p>
        </w:tc>
        <w:tc>
          <w:tcPr>
            <w:tcW w:w="1659" w:type="pc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r>
              <w:rPr>
                <w:rFonts w:hint="eastAsia" w:ascii="仿宋_GB2312"/>
                <w:sz w:val="21"/>
                <w:szCs w:val="21"/>
              </w:rPr>
              <w:t>部门实际支付进度与既定支付进度的比率，用以反映和考核部门预算执行的及时性和均衡性程度。</w:t>
            </w:r>
          </w:p>
        </w:tc>
        <w:tc>
          <w:tcPr>
            <w:tcW w:w="2076" w:type="pc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sz w:val="21"/>
                <w:szCs w:val="21"/>
              </w:rPr>
            </w:pPr>
            <w:r>
              <w:rPr>
                <w:rFonts w:hint="eastAsia" w:ascii="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567" w:hRule="atLeast"/>
        </w:trPr>
        <w:tc>
          <w:tcPr>
            <w:tcW w:w="305" w:type="pct"/>
            <w:vMerge w:val="continue"/>
            <w:tcBorders>
              <w:left w:val="single" w:color="auto" w:sz="4" w:space="0"/>
              <w:right w:val="single" w:color="auto" w:sz="4" w:space="0"/>
            </w:tcBorders>
            <w:noWrap/>
            <w:tcMar>
              <w:top w:w="10" w:type="dxa"/>
              <w:left w:w="10" w:type="dxa"/>
              <w:bottom w:w="0" w:type="dxa"/>
              <w:right w:w="10" w:type="dxa"/>
            </w:tcMar>
            <w:textDirection w:val="tbRlV"/>
            <w:vAlign w:val="center"/>
          </w:tcPr>
          <w:p>
            <w:pPr>
              <w:spacing w:line="240" w:lineRule="exact"/>
              <w:jc w:val="center"/>
              <w:rPr>
                <w:rFonts w:hint="eastAsia" w:ascii="仿宋_GB2312"/>
                <w:sz w:val="21"/>
                <w:szCs w:val="21"/>
              </w:rPr>
            </w:pPr>
          </w:p>
        </w:tc>
        <w:tc>
          <w:tcPr>
            <w:tcW w:w="317" w:type="pct"/>
            <w:vMerge w:val="continue"/>
            <w:tcBorders>
              <w:left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p>
        </w:tc>
        <w:tc>
          <w:tcPr>
            <w:tcW w:w="392" w:type="pct"/>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结转结余控制率（4分）</w:t>
            </w:r>
          </w:p>
        </w:tc>
        <w:tc>
          <w:tcPr>
            <w:tcW w:w="248" w:type="pct"/>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0</w:t>
            </w:r>
          </w:p>
        </w:tc>
        <w:tc>
          <w:tcPr>
            <w:tcW w:w="1659"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r>
              <w:rPr>
                <w:rFonts w:hint="eastAsia" w:ascii="仿宋_GB2312"/>
                <w:sz w:val="21"/>
                <w:szCs w:val="21"/>
              </w:rPr>
              <w:t>部门本年度结转结余总额与上年结转结余总额增减比例，用以反映和考核部门对存量资金的实际控制程度。</w:t>
            </w:r>
          </w:p>
        </w:tc>
        <w:tc>
          <w:tcPr>
            <w:tcW w:w="2076" w:type="pct"/>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sz w:val="21"/>
                <w:szCs w:val="21"/>
              </w:rPr>
            </w:pPr>
            <w:r>
              <w:rPr>
                <w:rFonts w:hint="eastAsia" w:ascii="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567" w:hRule="atLeast"/>
        </w:trPr>
        <w:tc>
          <w:tcPr>
            <w:tcW w:w="305" w:type="pct"/>
            <w:vMerge w:val="continue"/>
            <w:tcBorders>
              <w:left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317" w:type="pct"/>
            <w:vMerge w:val="continue"/>
            <w:tcBorders>
              <w:left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392" w:type="pct"/>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公用经费</w:t>
            </w:r>
          </w:p>
          <w:p>
            <w:pPr>
              <w:spacing w:line="240" w:lineRule="exact"/>
              <w:jc w:val="center"/>
              <w:rPr>
                <w:rFonts w:hint="eastAsia" w:ascii="仿宋_GB2312"/>
                <w:sz w:val="21"/>
                <w:szCs w:val="21"/>
              </w:rPr>
            </w:pPr>
            <w:r>
              <w:rPr>
                <w:rFonts w:hint="eastAsia" w:ascii="仿宋_GB2312"/>
                <w:sz w:val="21"/>
                <w:szCs w:val="21"/>
              </w:rPr>
              <w:t>控制率（2分）</w:t>
            </w:r>
          </w:p>
        </w:tc>
        <w:tc>
          <w:tcPr>
            <w:tcW w:w="248" w:type="pct"/>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2</w:t>
            </w:r>
          </w:p>
        </w:tc>
        <w:tc>
          <w:tcPr>
            <w:tcW w:w="1659"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r>
              <w:rPr>
                <w:rFonts w:hint="eastAsia" w:ascii="仿宋_GB2312"/>
                <w:sz w:val="21"/>
                <w:szCs w:val="21"/>
              </w:rPr>
              <w:t>部门本年度实际支出的公用经费总额与预算安排的公用经费总额的比率，用以反映和考核部门对机构运转成本的实际控制程度。</w:t>
            </w:r>
          </w:p>
        </w:tc>
        <w:tc>
          <w:tcPr>
            <w:tcW w:w="2076" w:type="pct"/>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sz w:val="21"/>
                <w:szCs w:val="21"/>
              </w:rPr>
            </w:pPr>
            <w:r>
              <w:rPr>
                <w:rFonts w:hint="eastAsia" w:ascii="仿宋_GB2312"/>
                <w:sz w:val="21"/>
                <w:szCs w:val="21"/>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567" w:hRule="atLeast"/>
        </w:trPr>
        <w:tc>
          <w:tcPr>
            <w:tcW w:w="305" w:type="pct"/>
            <w:vMerge w:val="continue"/>
            <w:tcBorders>
              <w:left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317" w:type="pct"/>
            <w:vMerge w:val="continue"/>
            <w:tcBorders>
              <w:left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392" w:type="pct"/>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“三公经费”控制率（2分）</w:t>
            </w:r>
          </w:p>
        </w:tc>
        <w:tc>
          <w:tcPr>
            <w:tcW w:w="248" w:type="pct"/>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2</w:t>
            </w:r>
          </w:p>
        </w:tc>
        <w:tc>
          <w:tcPr>
            <w:tcW w:w="1659"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r>
              <w:rPr>
                <w:rFonts w:hint="eastAsia" w:ascii="仿宋_GB2312"/>
                <w:sz w:val="21"/>
                <w:szCs w:val="21"/>
              </w:rPr>
              <w:t>部门本年度“三公经费”实际支出数与预算安排数的比率，用以反映和考核部门对“三公经费”的实际控制程度。</w:t>
            </w:r>
          </w:p>
        </w:tc>
        <w:tc>
          <w:tcPr>
            <w:tcW w:w="2076" w:type="pct"/>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sz w:val="21"/>
                <w:szCs w:val="21"/>
              </w:rPr>
            </w:pPr>
            <w:r>
              <w:rPr>
                <w:rFonts w:hint="eastAsia" w:ascii="仿宋_GB2312"/>
                <w:sz w:val="21"/>
                <w:szCs w:val="21"/>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567" w:hRule="atLeast"/>
        </w:trPr>
        <w:tc>
          <w:tcPr>
            <w:tcW w:w="305" w:type="pct"/>
            <w:vMerge w:val="continue"/>
            <w:tcBorders>
              <w:left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317" w:type="pct"/>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392" w:type="pc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政府采购</w:t>
            </w:r>
          </w:p>
          <w:p>
            <w:pPr>
              <w:spacing w:line="240" w:lineRule="exact"/>
              <w:jc w:val="center"/>
              <w:rPr>
                <w:rFonts w:hint="eastAsia" w:ascii="仿宋_GB2312"/>
                <w:sz w:val="21"/>
                <w:szCs w:val="21"/>
              </w:rPr>
            </w:pPr>
            <w:r>
              <w:rPr>
                <w:rFonts w:hint="eastAsia" w:ascii="仿宋_GB2312"/>
                <w:sz w:val="21"/>
                <w:szCs w:val="21"/>
              </w:rPr>
              <w:t>执行率（4分）</w:t>
            </w:r>
          </w:p>
        </w:tc>
        <w:tc>
          <w:tcPr>
            <w:tcW w:w="248" w:type="pct"/>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4</w:t>
            </w:r>
          </w:p>
        </w:tc>
        <w:tc>
          <w:tcPr>
            <w:tcW w:w="1659" w:type="pc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r>
              <w:rPr>
                <w:rFonts w:hint="eastAsia" w:ascii="仿宋_GB2312"/>
                <w:sz w:val="21"/>
                <w:szCs w:val="21"/>
              </w:rPr>
              <w:t>部门本年度实际政府采购金额与年初政府采购预算的比率，用以反映和考核部门政府采购预算执行情况。</w:t>
            </w:r>
          </w:p>
        </w:tc>
        <w:tc>
          <w:tcPr>
            <w:tcW w:w="2076" w:type="pc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sz w:val="21"/>
                <w:szCs w:val="21"/>
              </w:rPr>
            </w:pPr>
            <w:r>
              <w:rPr>
                <w:rFonts w:hint="eastAsia" w:ascii="仿宋_GB2312"/>
                <w:sz w:val="21"/>
                <w:szCs w:val="21"/>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567" w:hRule="atLeast"/>
        </w:trPr>
        <w:tc>
          <w:tcPr>
            <w:tcW w:w="305" w:type="pct"/>
            <w:vMerge w:val="continue"/>
            <w:tcBorders>
              <w:left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317" w:type="pct"/>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预算</w:t>
            </w:r>
          </w:p>
          <w:p>
            <w:pPr>
              <w:spacing w:line="240" w:lineRule="exact"/>
              <w:jc w:val="center"/>
              <w:rPr>
                <w:rFonts w:hint="eastAsia" w:ascii="仿宋_GB2312"/>
                <w:sz w:val="21"/>
                <w:szCs w:val="21"/>
              </w:rPr>
            </w:pPr>
            <w:r>
              <w:rPr>
                <w:rFonts w:hint="eastAsia" w:ascii="仿宋_GB2312"/>
                <w:sz w:val="21"/>
                <w:szCs w:val="21"/>
              </w:rPr>
              <w:t>管理</w:t>
            </w:r>
          </w:p>
          <w:p>
            <w:pPr>
              <w:spacing w:line="240" w:lineRule="exact"/>
              <w:jc w:val="center"/>
              <w:rPr>
                <w:rFonts w:hint="eastAsia" w:ascii="仿宋_GB2312"/>
                <w:sz w:val="21"/>
                <w:szCs w:val="21"/>
              </w:rPr>
            </w:pPr>
            <w:r>
              <w:rPr>
                <w:rFonts w:hint="eastAsia" w:ascii="仿宋_GB2312"/>
                <w:sz w:val="21"/>
                <w:szCs w:val="21"/>
              </w:rPr>
              <w:t>（5分）</w:t>
            </w:r>
          </w:p>
        </w:tc>
        <w:tc>
          <w:tcPr>
            <w:tcW w:w="392" w:type="pc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管理制度</w:t>
            </w:r>
          </w:p>
          <w:p>
            <w:pPr>
              <w:spacing w:line="240" w:lineRule="exact"/>
              <w:jc w:val="center"/>
              <w:rPr>
                <w:rFonts w:hint="eastAsia" w:ascii="仿宋_GB2312"/>
                <w:sz w:val="21"/>
                <w:szCs w:val="21"/>
              </w:rPr>
            </w:pPr>
            <w:r>
              <w:rPr>
                <w:rFonts w:hint="eastAsia" w:ascii="仿宋_GB2312"/>
                <w:sz w:val="21"/>
                <w:szCs w:val="21"/>
              </w:rPr>
              <w:t>健全性（2分）</w:t>
            </w:r>
          </w:p>
        </w:tc>
        <w:tc>
          <w:tcPr>
            <w:tcW w:w="248" w:type="pct"/>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2</w:t>
            </w:r>
          </w:p>
        </w:tc>
        <w:tc>
          <w:tcPr>
            <w:tcW w:w="1659" w:type="pc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r>
              <w:rPr>
                <w:rFonts w:hint="eastAsia" w:ascii="仿宋_GB2312"/>
                <w:sz w:val="21"/>
                <w:szCs w:val="21"/>
              </w:rPr>
              <w:t>部门为加强预算管理、规范财务行为而制定的管理制度是否健全完整，用以反映和考核部门预算管理制度对完成主要职责或促进事业发展的保障情况。</w:t>
            </w:r>
          </w:p>
        </w:tc>
        <w:tc>
          <w:tcPr>
            <w:tcW w:w="2076" w:type="pc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sz w:val="21"/>
                <w:szCs w:val="21"/>
              </w:rPr>
            </w:pPr>
            <w:r>
              <w:rPr>
                <w:rFonts w:hint="eastAsia" w:ascii="仿宋_GB2312"/>
                <w:sz w:val="21"/>
                <w:szCs w:val="21"/>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567" w:hRule="atLeast"/>
        </w:trPr>
        <w:tc>
          <w:tcPr>
            <w:tcW w:w="305" w:type="pct"/>
            <w:vMerge w:val="continue"/>
            <w:tcBorders>
              <w:left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317" w:type="pct"/>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392" w:type="pc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资金使用</w:t>
            </w:r>
          </w:p>
          <w:p>
            <w:pPr>
              <w:spacing w:line="240" w:lineRule="exact"/>
              <w:jc w:val="center"/>
              <w:rPr>
                <w:rFonts w:hint="eastAsia" w:ascii="仿宋_GB2312"/>
                <w:sz w:val="21"/>
                <w:szCs w:val="21"/>
              </w:rPr>
            </w:pPr>
            <w:r>
              <w:rPr>
                <w:rFonts w:hint="eastAsia" w:ascii="仿宋_GB2312"/>
                <w:sz w:val="21"/>
                <w:szCs w:val="21"/>
              </w:rPr>
              <w:t>合规性（1分）</w:t>
            </w:r>
          </w:p>
        </w:tc>
        <w:tc>
          <w:tcPr>
            <w:tcW w:w="248" w:type="pct"/>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1</w:t>
            </w:r>
          </w:p>
        </w:tc>
        <w:tc>
          <w:tcPr>
            <w:tcW w:w="1659" w:type="pc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r>
              <w:rPr>
                <w:rFonts w:hint="eastAsia" w:ascii="仿宋_GB2312"/>
                <w:sz w:val="21"/>
                <w:szCs w:val="21"/>
              </w:rPr>
              <w:t>部门使用预算资金是否符合相关的预算财务管理制度的规定，用以反映和考核部门预算资金的规范运行情况。</w:t>
            </w:r>
          </w:p>
        </w:tc>
        <w:tc>
          <w:tcPr>
            <w:tcW w:w="2076" w:type="pc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sz w:val="21"/>
                <w:szCs w:val="21"/>
              </w:rPr>
            </w:pPr>
            <w:r>
              <w:rPr>
                <w:rFonts w:hint="eastAsia" w:ascii="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trPr>
        <w:tc>
          <w:tcPr>
            <w:tcW w:w="305" w:type="pct"/>
            <w:vMerge w:val="continue"/>
            <w:tcBorders>
              <w:left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317" w:type="pct"/>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392" w:type="pc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预决算信</w:t>
            </w:r>
          </w:p>
          <w:p>
            <w:pPr>
              <w:spacing w:line="240" w:lineRule="exact"/>
              <w:jc w:val="center"/>
              <w:rPr>
                <w:rFonts w:hint="eastAsia" w:ascii="仿宋_GB2312"/>
                <w:sz w:val="21"/>
                <w:szCs w:val="21"/>
              </w:rPr>
            </w:pPr>
            <w:r>
              <w:rPr>
                <w:rFonts w:hint="eastAsia" w:ascii="仿宋_GB2312"/>
                <w:sz w:val="21"/>
                <w:szCs w:val="21"/>
              </w:rPr>
              <w:t>息公开性（1分）</w:t>
            </w:r>
          </w:p>
        </w:tc>
        <w:tc>
          <w:tcPr>
            <w:tcW w:w="248" w:type="pct"/>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1</w:t>
            </w:r>
          </w:p>
        </w:tc>
        <w:tc>
          <w:tcPr>
            <w:tcW w:w="1659" w:type="pc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r>
              <w:rPr>
                <w:rFonts w:hint="eastAsia" w:ascii="仿宋_GB2312"/>
                <w:sz w:val="21"/>
                <w:szCs w:val="21"/>
              </w:rPr>
              <w:t>部门是否按照政府信息公开有关规定公开相关预决算信息，用以反映和考核部门预决算管理的公开透明情况。</w:t>
            </w:r>
          </w:p>
        </w:tc>
        <w:tc>
          <w:tcPr>
            <w:tcW w:w="2076" w:type="pc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sz w:val="21"/>
                <w:szCs w:val="21"/>
              </w:rPr>
            </w:pPr>
            <w:r>
              <w:rPr>
                <w:rFonts w:hint="eastAsia" w:ascii="仿宋_GB2312"/>
                <w:sz w:val="21"/>
                <w:szCs w:val="21"/>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567" w:hRule="atLeast"/>
        </w:trPr>
        <w:tc>
          <w:tcPr>
            <w:tcW w:w="305" w:type="pct"/>
            <w:vMerge w:val="continue"/>
            <w:tcBorders>
              <w:left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317" w:type="pct"/>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392" w:type="pc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基础信息</w:t>
            </w:r>
          </w:p>
          <w:p>
            <w:pPr>
              <w:spacing w:line="240" w:lineRule="exact"/>
              <w:jc w:val="center"/>
              <w:rPr>
                <w:rFonts w:hint="eastAsia" w:ascii="仿宋_GB2312"/>
                <w:sz w:val="21"/>
                <w:szCs w:val="21"/>
              </w:rPr>
            </w:pPr>
            <w:r>
              <w:rPr>
                <w:rFonts w:hint="eastAsia" w:ascii="仿宋_GB2312"/>
                <w:sz w:val="21"/>
                <w:szCs w:val="21"/>
              </w:rPr>
              <w:t>完善性（1分）</w:t>
            </w:r>
          </w:p>
        </w:tc>
        <w:tc>
          <w:tcPr>
            <w:tcW w:w="248" w:type="pct"/>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1</w:t>
            </w:r>
          </w:p>
        </w:tc>
        <w:tc>
          <w:tcPr>
            <w:tcW w:w="1659" w:type="pc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r>
              <w:rPr>
                <w:rFonts w:hint="eastAsia" w:ascii="仿宋_GB2312"/>
                <w:sz w:val="21"/>
                <w:szCs w:val="21"/>
              </w:rPr>
              <w:t>部门基础信息是否完善，用以反映和考核基础信息对预算管理工作的支撑情况。</w:t>
            </w:r>
          </w:p>
        </w:tc>
        <w:tc>
          <w:tcPr>
            <w:tcW w:w="2076" w:type="pc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sz w:val="21"/>
                <w:szCs w:val="21"/>
              </w:rPr>
            </w:pPr>
            <w:r>
              <w:rPr>
                <w:rFonts w:hint="eastAsia" w:ascii="仿宋_GB2312"/>
                <w:sz w:val="21"/>
                <w:szCs w:val="21"/>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567" w:hRule="atLeast"/>
        </w:trPr>
        <w:tc>
          <w:tcPr>
            <w:tcW w:w="305" w:type="pct"/>
            <w:vMerge w:val="continue"/>
            <w:tcBorders>
              <w:left w:val="single" w:color="auto" w:sz="4" w:space="0"/>
              <w:right w:val="single" w:color="auto" w:sz="4" w:space="0"/>
            </w:tcBorders>
            <w:noWrap/>
            <w:tcMar>
              <w:top w:w="10" w:type="dxa"/>
              <w:left w:w="10" w:type="dxa"/>
              <w:bottom w:w="0" w:type="dxa"/>
              <w:right w:w="10" w:type="dxa"/>
            </w:tcMar>
            <w:textDirection w:val="tbRlV"/>
            <w:vAlign w:val="center"/>
          </w:tcPr>
          <w:p>
            <w:pPr>
              <w:spacing w:line="240" w:lineRule="exact"/>
              <w:jc w:val="center"/>
              <w:rPr>
                <w:rFonts w:hint="eastAsia" w:ascii="仿宋_GB2312"/>
                <w:sz w:val="21"/>
                <w:szCs w:val="21"/>
              </w:rPr>
            </w:pPr>
          </w:p>
        </w:tc>
        <w:tc>
          <w:tcPr>
            <w:tcW w:w="317" w:type="pct"/>
            <w:vMerge w:val="restart"/>
            <w:tcBorders>
              <w:top w:val="nil"/>
              <w:left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资产</w:t>
            </w:r>
            <w:r>
              <w:rPr>
                <w:rFonts w:hint="eastAsia" w:ascii="仿宋_GB2312"/>
                <w:sz w:val="21"/>
                <w:szCs w:val="21"/>
              </w:rPr>
              <w:br w:type="textWrapping"/>
            </w:r>
            <w:r>
              <w:rPr>
                <w:rFonts w:hint="eastAsia" w:ascii="仿宋_GB2312"/>
                <w:sz w:val="21"/>
                <w:szCs w:val="21"/>
              </w:rPr>
              <w:t>管理</w:t>
            </w:r>
          </w:p>
          <w:p>
            <w:pPr>
              <w:spacing w:line="240" w:lineRule="exact"/>
              <w:jc w:val="center"/>
              <w:rPr>
                <w:rFonts w:hint="eastAsia" w:ascii="仿宋_GB2312"/>
                <w:sz w:val="21"/>
                <w:szCs w:val="21"/>
              </w:rPr>
            </w:pPr>
            <w:r>
              <w:rPr>
                <w:rFonts w:hint="eastAsia" w:ascii="仿宋_GB2312"/>
                <w:sz w:val="21"/>
                <w:szCs w:val="21"/>
              </w:rPr>
              <w:t>（5分）</w:t>
            </w:r>
          </w:p>
        </w:tc>
        <w:tc>
          <w:tcPr>
            <w:tcW w:w="392" w:type="pc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管理制度</w:t>
            </w:r>
          </w:p>
          <w:p>
            <w:pPr>
              <w:spacing w:line="240" w:lineRule="exact"/>
              <w:jc w:val="center"/>
              <w:rPr>
                <w:rFonts w:hint="eastAsia" w:ascii="仿宋_GB2312"/>
                <w:sz w:val="21"/>
                <w:szCs w:val="21"/>
              </w:rPr>
            </w:pPr>
            <w:r>
              <w:rPr>
                <w:rFonts w:hint="eastAsia" w:ascii="仿宋_GB2312"/>
                <w:sz w:val="21"/>
                <w:szCs w:val="21"/>
              </w:rPr>
              <w:t>健全性（2分）</w:t>
            </w:r>
          </w:p>
        </w:tc>
        <w:tc>
          <w:tcPr>
            <w:tcW w:w="248" w:type="pct"/>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仿宋_GB2312" w:eastAsia="仿宋_GB2312"/>
                <w:sz w:val="21"/>
                <w:szCs w:val="21"/>
                <w:lang w:val="en-US" w:eastAsia="zh-CN"/>
              </w:rPr>
            </w:pPr>
            <w:r>
              <w:rPr>
                <w:rFonts w:hint="eastAsia" w:ascii="仿宋_GB2312"/>
                <w:sz w:val="21"/>
                <w:szCs w:val="21"/>
                <w:lang w:val="en-US" w:eastAsia="zh-CN"/>
              </w:rPr>
              <w:t>1.5</w:t>
            </w:r>
          </w:p>
        </w:tc>
        <w:tc>
          <w:tcPr>
            <w:tcW w:w="1659" w:type="pc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r>
              <w:rPr>
                <w:rFonts w:hint="eastAsia" w:ascii="仿宋_GB2312"/>
                <w:sz w:val="21"/>
                <w:szCs w:val="21"/>
              </w:rPr>
              <w:t>部门为加强资产管理、规范资产管理行为而制定的管理制度是否健全完整，用以反映和考核部门资产管理制度对完成主要职责或促进社会发展的保障情况。</w:t>
            </w:r>
          </w:p>
        </w:tc>
        <w:tc>
          <w:tcPr>
            <w:tcW w:w="2076" w:type="pc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sz w:val="21"/>
                <w:szCs w:val="21"/>
              </w:rPr>
            </w:pPr>
            <w:r>
              <w:rPr>
                <w:rFonts w:hint="eastAsia" w:ascii="仿宋_GB2312"/>
                <w:sz w:val="21"/>
                <w:szCs w:val="21"/>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567" w:hRule="atLeast"/>
        </w:trPr>
        <w:tc>
          <w:tcPr>
            <w:tcW w:w="305" w:type="pct"/>
            <w:vMerge w:val="continue"/>
            <w:tcBorders>
              <w:left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317" w:type="pct"/>
            <w:vMerge w:val="continue"/>
            <w:tcBorders>
              <w:left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392" w:type="pct"/>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资产管理</w:t>
            </w:r>
          </w:p>
          <w:p>
            <w:pPr>
              <w:spacing w:line="240" w:lineRule="exact"/>
              <w:jc w:val="center"/>
              <w:rPr>
                <w:rFonts w:hint="eastAsia" w:ascii="仿宋_GB2312"/>
                <w:sz w:val="21"/>
                <w:szCs w:val="21"/>
              </w:rPr>
            </w:pPr>
            <w:r>
              <w:rPr>
                <w:rFonts w:hint="eastAsia" w:ascii="仿宋_GB2312"/>
                <w:sz w:val="21"/>
                <w:szCs w:val="21"/>
              </w:rPr>
              <w:t>安全性（2分）</w:t>
            </w:r>
          </w:p>
        </w:tc>
        <w:tc>
          <w:tcPr>
            <w:tcW w:w="248" w:type="pct"/>
            <w:tcBorders>
              <w:top w:val="single" w:color="auto" w:sz="4" w:space="0"/>
              <w:left w:val="nil"/>
              <w:bottom w:val="single" w:color="auto" w:sz="4" w:space="0"/>
              <w:right w:val="single" w:color="auto" w:sz="4" w:space="0"/>
            </w:tcBorders>
            <w:noWrap w:val="0"/>
            <w:vAlign w:val="center"/>
          </w:tcPr>
          <w:p>
            <w:pPr>
              <w:tabs>
                <w:tab w:val="left" w:pos="761"/>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2</w:t>
            </w:r>
          </w:p>
        </w:tc>
        <w:tc>
          <w:tcPr>
            <w:tcW w:w="1659"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761"/>
                <w:tab w:val="left" w:pos="2604"/>
              </w:tabs>
              <w:spacing w:line="240" w:lineRule="exact"/>
              <w:rPr>
                <w:rFonts w:hint="eastAsia" w:ascii="仿宋_GB2312"/>
                <w:sz w:val="21"/>
                <w:szCs w:val="21"/>
              </w:rPr>
            </w:pPr>
            <w:r>
              <w:rPr>
                <w:rFonts w:hint="eastAsia" w:ascii="仿宋_GB2312"/>
                <w:sz w:val="21"/>
                <w:szCs w:val="21"/>
              </w:rPr>
              <w:t>部门的资产是否保存完整、使用合规、配置合理、处置规范、收入及时足额上缴，用以反映和考核部门资产安全运行情况。</w:t>
            </w:r>
          </w:p>
        </w:tc>
        <w:tc>
          <w:tcPr>
            <w:tcW w:w="2076" w:type="pct"/>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sz w:val="21"/>
                <w:szCs w:val="21"/>
              </w:rPr>
            </w:pPr>
            <w:r>
              <w:rPr>
                <w:rFonts w:hint="eastAsia" w:ascii="仿宋_GB2312"/>
                <w:sz w:val="21"/>
                <w:szCs w:val="21"/>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567" w:hRule="atLeast"/>
        </w:trPr>
        <w:tc>
          <w:tcPr>
            <w:tcW w:w="305" w:type="pct"/>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317" w:type="pct"/>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392" w:type="pct"/>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固定资产</w:t>
            </w:r>
          </w:p>
          <w:p>
            <w:pPr>
              <w:spacing w:line="240" w:lineRule="exact"/>
              <w:jc w:val="center"/>
              <w:rPr>
                <w:rFonts w:hint="eastAsia" w:ascii="仿宋_GB2312"/>
                <w:sz w:val="21"/>
                <w:szCs w:val="21"/>
              </w:rPr>
            </w:pPr>
            <w:r>
              <w:rPr>
                <w:rFonts w:hint="eastAsia" w:ascii="仿宋_GB2312"/>
                <w:sz w:val="21"/>
                <w:szCs w:val="21"/>
              </w:rPr>
              <w:t>利用率（1分）</w:t>
            </w:r>
          </w:p>
        </w:tc>
        <w:tc>
          <w:tcPr>
            <w:tcW w:w="248" w:type="pct"/>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仿宋_GB2312" w:eastAsia="仿宋_GB2312"/>
                <w:sz w:val="21"/>
                <w:szCs w:val="21"/>
                <w:lang w:val="en-US" w:eastAsia="zh-CN"/>
              </w:rPr>
            </w:pPr>
            <w:r>
              <w:rPr>
                <w:rFonts w:hint="eastAsia" w:ascii="仿宋_GB2312"/>
                <w:sz w:val="21"/>
                <w:szCs w:val="21"/>
                <w:lang w:val="en-US" w:eastAsia="zh-CN"/>
              </w:rPr>
              <w:t>0.8</w:t>
            </w:r>
          </w:p>
        </w:tc>
        <w:tc>
          <w:tcPr>
            <w:tcW w:w="1659"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r>
              <w:rPr>
                <w:rFonts w:hint="eastAsia" w:ascii="仿宋_GB2312"/>
                <w:sz w:val="21"/>
                <w:szCs w:val="21"/>
              </w:rPr>
              <w:t>部门实际在用固定资产总额与所有固定资产总额的比率，用以反映和考核部门固定资产使用效率程度。</w:t>
            </w:r>
          </w:p>
        </w:tc>
        <w:tc>
          <w:tcPr>
            <w:tcW w:w="2076" w:type="pct"/>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sz w:val="21"/>
                <w:szCs w:val="21"/>
              </w:rPr>
            </w:pPr>
            <w:r>
              <w:rPr>
                <w:rFonts w:hint="eastAsia" w:ascii="仿宋_GB2312"/>
                <w:sz w:val="21"/>
                <w:szCs w:val="21"/>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567" w:hRule="atLeast"/>
        </w:trPr>
        <w:tc>
          <w:tcPr>
            <w:tcW w:w="305" w:type="pct"/>
            <w:vMerge w:val="restart"/>
            <w:tcBorders>
              <w:top w:val="nil"/>
              <w:left w:val="single" w:color="auto" w:sz="4" w:space="0"/>
              <w:bottom w:val="single" w:color="auto" w:sz="4" w:space="0"/>
              <w:right w:val="single" w:color="auto" w:sz="4" w:space="0"/>
            </w:tcBorders>
            <w:noWrap/>
            <w:tcMar>
              <w:top w:w="10" w:type="dxa"/>
              <w:left w:w="10" w:type="dxa"/>
              <w:bottom w:w="0" w:type="dxa"/>
              <w:right w:w="10" w:type="dxa"/>
            </w:tcMar>
            <w:textDirection w:val="tbRlV"/>
            <w:vAlign w:val="center"/>
          </w:tcPr>
          <w:p>
            <w:pPr>
              <w:spacing w:line="240" w:lineRule="exact"/>
              <w:jc w:val="center"/>
              <w:rPr>
                <w:rFonts w:hint="eastAsia" w:ascii="仿宋_GB2312"/>
                <w:sz w:val="21"/>
                <w:szCs w:val="21"/>
              </w:rPr>
            </w:pPr>
            <w:r>
              <w:rPr>
                <w:rFonts w:hint="eastAsia" w:ascii="仿宋_GB2312"/>
                <w:sz w:val="21"/>
                <w:szCs w:val="21"/>
              </w:rPr>
              <w:t>产   出（30分）</w:t>
            </w:r>
          </w:p>
        </w:tc>
        <w:tc>
          <w:tcPr>
            <w:tcW w:w="317" w:type="pct"/>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职责</w:t>
            </w:r>
            <w:r>
              <w:rPr>
                <w:rFonts w:hint="eastAsia" w:ascii="仿宋_GB2312"/>
                <w:sz w:val="21"/>
                <w:szCs w:val="21"/>
              </w:rPr>
              <w:br w:type="textWrapping"/>
            </w:r>
            <w:r>
              <w:rPr>
                <w:rFonts w:hint="eastAsia" w:ascii="仿宋_GB2312"/>
                <w:sz w:val="21"/>
                <w:szCs w:val="21"/>
              </w:rPr>
              <w:t>履行</w:t>
            </w:r>
          </w:p>
        </w:tc>
        <w:tc>
          <w:tcPr>
            <w:tcW w:w="392" w:type="pc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实际完成率（8分）</w:t>
            </w:r>
          </w:p>
        </w:tc>
        <w:tc>
          <w:tcPr>
            <w:tcW w:w="248" w:type="pct"/>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8</w:t>
            </w:r>
          </w:p>
        </w:tc>
        <w:tc>
          <w:tcPr>
            <w:tcW w:w="1659" w:type="pc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r>
              <w:rPr>
                <w:rFonts w:hint="eastAsia" w:ascii="仿宋_GB2312"/>
                <w:sz w:val="21"/>
                <w:szCs w:val="21"/>
              </w:rPr>
              <w:t>部门履行职责而实际完成工作数与计划工作数的比率，用以反映和考核部门履职工作任务目标的实现程度。</w:t>
            </w:r>
          </w:p>
        </w:tc>
        <w:tc>
          <w:tcPr>
            <w:tcW w:w="2076" w:type="pc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sz w:val="21"/>
                <w:szCs w:val="21"/>
              </w:rPr>
            </w:pPr>
            <w:r>
              <w:rPr>
                <w:rFonts w:hint="eastAsia" w:ascii="仿宋_GB2312"/>
                <w:sz w:val="21"/>
                <w:szCs w:val="21"/>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567" w:hRule="atLeast"/>
        </w:trPr>
        <w:tc>
          <w:tcPr>
            <w:tcW w:w="305" w:type="pct"/>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317" w:type="pct"/>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392" w:type="pc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完成及时率（4分）</w:t>
            </w:r>
          </w:p>
        </w:tc>
        <w:tc>
          <w:tcPr>
            <w:tcW w:w="248" w:type="pct"/>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4</w:t>
            </w:r>
          </w:p>
        </w:tc>
        <w:tc>
          <w:tcPr>
            <w:tcW w:w="1659" w:type="pc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r>
              <w:rPr>
                <w:rFonts w:hint="eastAsia" w:ascii="仿宋_GB2312"/>
                <w:sz w:val="21"/>
                <w:szCs w:val="21"/>
              </w:rPr>
              <w:t>部门在规定时限内及时完成的实际工作数与计划工作数的比率,用以反映和考核部门履职时效目标的实现程度。</w:t>
            </w:r>
          </w:p>
        </w:tc>
        <w:tc>
          <w:tcPr>
            <w:tcW w:w="2076" w:type="pc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sz w:val="21"/>
                <w:szCs w:val="21"/>
              </w:rPr>
            </w:pPr>
            <w:r>
              <w:rPr>
                <w:rFonts w:hint="eastAsia" w:ascii="仿宋_GB2312"/>
                <w:sz w:val="21"/>
                <w:szCs w:val="21"/>
              </w:rPr>
              <w:t>完成及时率=（及时完成实际工作数/计划工作数）×100%。1-4季度各得1分</w:t>
            </w:r>
            <w:r>
              <w:rPr>
                <w:rFonts w:hint="eastAsia" w:ascii="仿宋_GB2312"/>
                <w:sz w:val="21"/>
                <w:szCs w:val="21"/>
              </w:rPr>
              <w:br w:type="textWrapping"/>
            </w:r>
          </w:p>
        </w:tc>
      </w:tr>
      <w:tr>
        <w:tblPrEx>
          <w:tblCellMar>
            <w:top w:w="0" w:type="dxa"/>
            <w:left w:w="0" w:type="dxa"/>
            <w:bottom w:w="0" w:type="dxa"/>
            <w:right w:w="0" w:type="dxa"/>
          </w:tblCellMar>
        </w:tblPrEx>
        <w:trPr>
          <w:trHeight w:val="567" w:hRule="atLeast"/>
        </w:trPr>
        <w:tc>
          <w:tcPr>
            <w:tcW w:w="305" w:type="pct"/>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317" w:type="pct"/>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392" w:type="pc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质量达标率（8分）</w:t>
            </w:r>
          </w:p>
        </w:tc>
        <w:tc>
          <w:tcPr>
            <w:tcW w:w="248" w:type="pct"/>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8</w:t>
            </w:r>
          </w:p>
        </w:tc>
        <w:tc>
          <w:tcPr>
            <w:tcW w:w="1659" w:type="pc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r>
              <w:rPr>
                <w:rFonts w:hint="eastAsia" w:ascii="仿宋_GB2312"/>
                <w:sz w:val="21"/>
                <w:szCs w:val="21"/>
              </w:rPr>
              <w:t>达到质量标准（绩效标准值）的实际工作数与计划工作数的比率,用以反映和考核部门履职质量目标的实现程度。</w:t>
            </w:r>
          </w:p>
        </w:tc>
        <w:tc>
          <w:tcPr>
            <w:tcW w:w="2076" w:type="pc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sz w:val="21"/>
                <w:szCs w:val="21"/>
              </w:rPr>
            </w:pPr>
            <w:r>
              <w:rPr>
                <w:rFonts w:hint="eastAsia" w:ascii="仿宋_GB2312"/>
                <w:sz w:val="21"/>
                <w:szCs w:val="21"/>
              </w:rPr>
              <w:t>质量达标率=（质量达标实际工作数/计划工作数）×100%。实际得分=达标率*8分</w:t>
            </w:r>
          </w:p>
        </w:tc>
      </w:tr>
      <w:tr>
        <w:tblPrEx>
          <w:tblCellMar>
            <w:top w:w="0" w:type="dxa"/>
            <w:left w:w="0" w:type="dxa"/>
            <w:bottom w:w="0" w:type="dxa"/>
            <w:right w:w="0" w:type="dxa"/>
          </w:tblCellMar>
        </w:tblPrEx>
        <w:trPr>
          <w:trHeight w:val="567" w:hRule="atLeast"/>
        </w:trPr>
        <w:tc>
          <w:tcPr>
            <w:tcW w:w="305" w:type="pct"/>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317" w:type="pct"/>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392" w:type="pc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重点工作</w:t>
            </w:r>
          </w:p>
          <w:p>
            <w:pPr>
              <w:spacing w:line="240" w:lineRule="exact"/>
              <w:jc w:val="center"/>
              <w:rPr>
                <w:rFonts w:hint="eastAsia" w:ascii="仿宋_GB2312"/>
                <w:sz w:val="21"/>
                <w:szCs w:val="21"/>
              </w:rPr>
            </w:pPr>
            <w:r>
              <w:rPr>
                <w:rFonts w:hint="eastAsia" w:ascii="仿宋_GB2312"/>
                <w:sz w:val="21"/>
                <w:szCs w:val="21"/>
              </w:rPr>
              <w:t>办结率（10分）</w:t>
            </w:r>
          </w:p>
        </w:tc>
        <w:tc>
          <w:tcPr>
            <w:tcW w:w="248" w:type="pct"/>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仿宋_GB2312" w:eastAsia="仿宋_GB2312"/>
                <w:sz w:val="21"/>
                <w:szCs w:val="21"/>
                <w:lang w:val="en-US" w:eastAsia="zh-CN"/>
              </w:rPr>
            </w:pPr>
            <w:r>
              <w:rPr>
                <w:rFonts w:hint="eastAsia" w:ascii="仿宋_GB2312"/>
                <w:sz w:val="21"/>
                <w:szCs w:val="21"/>
                <w:lang w:val="en-US" w:eastAsia="zh-CN"/>
              </w:rPr>
              <w:t>10</w:t>
            </w:r>
          </w:p>
        </w:tc>
        <w:tc>
          <w:tcPr>
            <w:tcW w:w="1659" w:type="pc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r>
              <w:rPr>
                <w:rFonts w:hint="eastAsia" w:ascii="仿宋_GB2312"/>
                <w:sz w:val="21"/>
                <w:szCs w:val="21"/>
              </w:rPr>
              <w:t>部门年度重点工作实际完成数与交办或下达数的比率，用以反映部门对重点工作的办理落实程度。</w:t>
            </w:r>
          </w:p>
        </w:tc>
        <w:tc>
          <w:tcPr>
            <w:tcW w:w="2076" w:type="pc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sz w:val="21"/>
                <w:szCs w:val="21"/>
              </w:rPr>
            </w:pPr>
            <w:r>
              <w:rPr>
                <w:rFonts w:hint="eastAsia" w:ascii="仿宋_GB2312"/>
                <w:sz w:val="21"/>
                <w:szCs w:val="21"/>
              </w:rPr>
              <w:t>重点工作办结率=（重点工作实际完成数/交办或下达数）×100%。实际得分=办结率*10分</w:t>
            </w:r>
          </w:p>
        </w:tc>
      </w:tr>
      <w:tr>
        <w:tblPrEx>
          <w:tblCellMar>
            <w:top w:w="0" w:type="dxa"/>
            <w:left w:w="0" w:type="dxa"/>
            <w:bottom w:w="0" w:type="dxa"/>
            <w:right w:w="0" w:type="dxa"/>
          </w:tblCellMar>
        </w:tblPrEx>
        <w:trPr>
          <w:trHeight w:val="567" w:hRule="atLeast"/>
        </w:trPr>
        <w:tc>
          <w:tcPr>
            <w:tcW w:w="305" w:type="pct"/>
            <w:vMerge w:val="restart"/>
            <w:tcBorders>
              <w:top w:val="nil"/>
              <w:left w:val="single" w:color="auto" w:sz="4" w:space="0"/>
              <w:bottom w:val="single" w:color="auto" w:sz="4" w:space="0"/>
              <w:right w:val="single" w:color="auto" w:sz="4" w:space="0"/>
            </w:tcBorders>
            <w:noWrap/>
            <w:tcMar>
              <w:top w:w="10" w:type="dxa"/>
              <w:left w:w="10" w:type="dxa"/>
              <w:bottom w:w="0" w:type="dxa"/>
              <w:right w:w="10" w:type="dxa"/>
            </w:tcMar>
            <w:textDirection w:val="tbRlV"/>
            <w:vAlign w:val="center"/>
          </w:tcPr>
          <w:p>
            <w:pPr>
              <w:spacing w:line="240" w:lineRule="exact"/>
              <w:jc w:val="center"/>
              <w:rPr>
                <w:rFonts w:hint="eastAsia" w:ascii="仿宋_GB2312"/>
                <w:sz w:val="21"/>
                <w:szCs w:val="21"/>
              </w:rPr>
            </w:pPr>
            <w:r>
              <w:rPr>
                <w:rFonts w:hint="eastAsia" w:ascii="仿宋_GB2312"/>
                <w:sz w:val="21"/>
                <w:szCs w:val="21"/>
              </w:rPr>
              <w:t>效   果（20分）</w:t>
            </w:r>
          </w:p>
        </w:tc>
        <w:tc>
          <w:tcPr>
            <w:tcW w:w="317" w:type="pct"/>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履职</w:t>
            </w:r>
            <w:r>
              <w:rPr>
                <w:rFonts w:hint="eastAsia" w:ascii="仿宋_GB2312"/>
                <w:sz w:val="21"/>
                <w:szCs w:val="21"/>
              </w:rPr>
              <w:br w:type="textWrapping"/>
            </w:r>
            <w:r>
              <w:rPr>
                <w:rFonts w:hint="eastAsia" w:ascii="仿宋_GB2312"/>
                <w:sz w:val="21"/>
                <w:szCs w:val="21"/>
              </w:rPr>
              <w:t>效益（20分）</w:t>
            </w:r>
          </w:p>
        </w:tc>
        <w:tc>
          <w:tcPr>
            <w:tcW w:w="392" w:type="pc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经济效益（5分）</w:t>
            </w:r>
          </w:p>
        </w:tc>
        <w:tc>
          <w:tcPr>
            <w:tcW w:w="248" w:type="pct"/>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仿宋_GB2312" w:eastAsia="仿宋_GB2312"/>
                <w:sz w:val="21"/>
                <w:szCs w:val="21"/>
                <w:lang w:val="en-US" w:eastAsia="zh-CN"/>
              </w:rPr>
            </w:pPr>
            <w:r>
              <w:rPr>
                <w:rFonts w:hint="eastAsia" w:ascii="仿宋_GB2312"/>
                <w:sz w:val="21"/>
                <w:szCs w:val="21"/>
                <w:lang w:val="en-US" w:eastAsia="zh-CN"/>
              </w:rPr>
              <w:t>5</w:t>
            </w:r>
          </w:p>
        </w:tc>
        <w:tc>
          <w:tcPr>
            <w:tcW w:w="1659" w:type="pc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r>
              <w:rPr>
                <w:rFonts w:hint="eastAsia" w:ascii="仿宋_GB2312"/>
                <w:sz w:val="21"/>
                <w:szCs w:val="21"/>
              </w:rPr>
              <w:t>部门履行职责对经济发展所带来的直接或间接影响。</w:t>
            </w:r>
          </w:p>
        </w:tc>
        <w:tc>
          <w:tcPr>
            <w:tcW w:w="2076" w:type="pct"/>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sz w:val="21"/>
                <w:szCs w:val="21"/>
              </w:rPr>
            </w:pPr>
            <w:r>
              <w:rPr>
                <w:rFonts w:hint="eastAsia" w:ascii="仿宋_GB2312" w:hAnsi="宋体" w:cs="宋体"/>
                <w:kern w:val="0"/>
                <w:sz w:val="21"/>
                <w:szCs w:val="21"/>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567" w:hRule="atLeast"/>
        </w:trPr>
        <w:tc>
          <w:tcPr>
            <w:tcW w:w="305" w:type="pct"/>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317" w:type="pct"/>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392" w:type="pc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社会效益（5分）</w:t>
            </w:r>
          </w:p>
        </w:tc>
        <w:tc>
          <w:tcPr>
            <w:tcW w:w="248" w:type="pct"/>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仿宋_GB2312" w:eastAsia="仿宋_GB2312"/>
                <w:sz w:val="21"/>
                <w:szCs w:val="21"/>
                <w:lang w:val="en-US" w:eastAsia="zh-CN"/>
              </w:rPr>
            </w:pPr>
            <w:r>
              <w:rPr>
                <w:rFonts w:hint="eastAsia" w:ascii="仿宋_GB2312"/>
                <w:sz w:val="21"/>
                <w:szCs w:val="21"/>
                <w:lang w:val="en-US" w:eastAsia="zh-CN"/>
              </w:rPr>
              <w:t>5</w:t>
            </w:r>
          </w:p>
        </w:tc>
        <w:tc>
          <w:tcPr>
            <w:tcW w:w="1659" w:type="pc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r>
              <w:rPr>
                <w:rFonts w:hint="eastAsia" w:ascii="仿宋_GB2312"/>
                <w:sz w:val="21"/>
                <w:szCs w:val="21"/>
              </w:rPr>
              <w:t>部门履行职责对社会发展所带来的直接或间接影响。</w:t>
            </w:r>
          </w:p>
        </w:tc>
        <w:tc>
          <w:tcPr>
            <w:tcW w:w="2076" w:type="pct"/>
            <w:vMerge w:val="continue"/>
            <w:tcBorders>
              <w:top w:val="nil"/>
              <w:left w:val="single" w:color="auto" w:sz="4" w:space="0"/>
              <w:bottom w:val="single" w:color="auto" w:sz="4" w:space="0"/>
              <w:right w:val="single" w:color="auto" w:sz="4" w:space="0"/>
            </w:tcBorders>
            <w:noWrap w:val="0"/>
            <w:vAlign w:val="center"/>
          </w:tcPr>
          <w:p>
            <w:pPr>
              <w:spacing w:line="240" w:lineRule="exact"/>
              <w:rPr>
                <w:rFonts w:hint="eastAsia" w:ascii="仿宋_GB2312"/>
                <w:sz w:val="21"/>
                <w:szCs w:val="21"/>
              </w:rPr>
            </w:pPr>
          </w:p>
        </w:tc>
      </w:tr>
      <w:tr>
        <w:tblPrEx>
          <w:tblCellMar>
            <w:top w:w="0" w:type="dxa"/>
            <w:left w:w="0" w:type="dxa"/>
            <w:bottom w:w="0" w:type="dxa"/>
            <w:right w:w="0" w:type="dxa"/>
          </w:tblCellMar>
        </w:tblPrEx>
        <w:trPr>
          <w:trHeight w:val="567" w:hRule="atLeast"/>
        </w:trPr>
        <w:tc>
          <w:tcPr>
            <w:tcW w:w="305" w:type="pct"/>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317" w:type="pct"/>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392" w:type="pct"/>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生态效益（5分）</w:t>
            </w:r>
          </w:p>
        </w:tc>
        <w:tc>
          <w:tcPr>
            <w:tcW w:w="248" w:type="pct"/>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仿宋_GB2312" w:eastAsia="仿宋_GB2312"/>
                <w:sz w:val="21"/>
                <w:szCs w:val="21"/>
                <w:lang w:val="en-US" w:eastAsia="zh-CN"/>
              </w:rPr>
            </w:pPr>
            <w:r>
              <w:rPr>
                <w:rFonts w:hint="eastAsia" w:ascii="仿宋_GB2312"/>
                <w:sz w:val="21"/>
                <w:szCs w:val="21"/>
                <w:lang w:val="en-US" w:eastAsia="zh-CN"/>
              </w:rPr>
              <w:t>5</w:t>
            </w:r>
          </w:p>
        </w:tc>
        <w:tc>
          <w:tcPr>
            <w:tcW w:w="1659" w:type="pc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r>
              <w:rPr>
                <w:rFonts w:hint="eastAsia" w:ascii="仿宋_GB2312"/>
                <w:sz w:val="21"/>
                <w:szCs w:val="21"/>
              </w:rPr>
              <w:t>部门履行职责对生态环境所带来的直接或间接影响。</w:t>
            </w:r>
          </w:p>
        </w:tc>
        <w:tc>
          <w:tcPr>
            <w:tcW w:w="2076" w:type="pct"/>
            <w:vMerge w:val="continue"/>
            <w:tcBorders>
              <w:top w:val="nil"/>
              <w:left w:val="single" w:color="auto" w:sz="4" w:space="0"/>
              <w:bottom w:val="single" w:color="auto" w:sz="4" w:space="0"/>
              <w:right w:val="single" w:color="auto" w:sz="4" w:space="0"/>
            </w:tcBorders>
            <w:noWrap w:val="0"/>
            <w:vAlign w:val="center"/>
          </w:tcPr>
          <w:p>
            <w:pPr>
              <w:spacing w:line="240" w:lineRule="exact"/>
              <w:rPr>
                <w:rFonts w:hint="eastAsia" w:ascii="仿宋_GB2312"/>
                <w:sz w:val="21"/>
                <w:szCs w:val="21"/>
              </w:rPr>
            </w:pPr>
          </w:p>
        </w:tc>
      </w:tr>
      <w:tr>
        <w:tblPrEx>
          <w:tblCellMar>
            <w:top w:w="0" w:type="dxa"/>
            <w:left w:w="0" w:type="dxa"/>
            <w:bottom w:w="0" w:type="dxa"/>
            <w:right w:w="0" w:type="dxa"/>
          </w:tblCellMar>
        </w:tblPrEx>
        <w:trPr>
          <w:trHeight w:val="1520" w:hRule="atLeast"/>
        </w:trPr>
        <w:tc>
          <w:tcPr>
            <w:tcW w:w="305" w:type="pct"/>
            <w:vMerge w:val="continue"/>
            <w:tcBorders>
              <w:top w:val="nil"/>
              <w:left w:val="single" w:color="auto" w:sz="4" w:space="0"/>
              <w:bottom w:val="nil"/>
              <w:right w:val="single" w:color="auto" w:sz="4" w:space="0"/>
            </w:tcBorders>
            <w:noWrap w:val="0"/>
            <w:vAlign w:val="center"/>
          </w:tcPr>
          <w:p>
            <w:pPr>
              <w:spacing w:line="240" w:lineRule="exact"/>
              <w:jc w:val="center"/>
              <w:rPr>
                <w:rFonts w:hint="eastAsia" w:ascii="仿宋_GB2312"/>
                <w:sz w:val="21"/>
                <w:szCs w:val="21"/>
              </w:rPr>
            </w:pPr>
          </w:p>
        </w:tc>
        <w:tc>
          <w:tcPr>
            <w:tcW w:w="317" w:type="pct"/>
            <w:vMerge w:val="continue"/>
            <w:tcBorders>
              <w:top w:val="nil"/>
              <w:left w:val="single" w:color="auto" w:sz="4" w:space="0"/>
              <w:bottom w:val="nil"/>
              <w:right w:val="single" w:color="auto" w:sz="4" w:space="0"/>
            </w:tcBorders>
            <w:noWrap w:val="0"/>
            <w:vAlign w:val="center"/>
          </w:tcPr>
          <w:p>
            <w:pPr>
              <w:spacing w:line="240" w:lineRule="exact"/>
              <w:jc w:val="center"/>
              <w:rPr>
                <w:rFonts w:hint="eastAsia" w:ascii="仿宋_GB2312"/>
                <w:sz w:val="21"/>
                <w:szCs w:val="21"/>
              </w:rPr>
            </w:pPr>
          </w:p>
        </w:tc>
        <w:tc>
          <w:tcPr>
            <w:tcW w:w="392" w:type="pct"/>
            <w:tcBorders>
              <w:top w:val="nil"/>
              <w:left w:val="nil"/>
              <w:bottom w:val="nil"/>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社会公众</w:t>
            </w:r>
          </w:p>
          <w:p>
            <w:pPr>
              <w:spacing w:line="240" w:lineRule="exact"/>
              <w:jc w:val="center"/>
              <w:rPr>
                <w:rFonts w:hint="eastAsia" w:ascii="仿宋_GB2312"/>
                <w:sz w:val="21"/>
                <w:szCs w:val="21"/>
              </w:rPr>
            </w:pPr>
            <w:r>
              <w:rPr>
                <w:rFonts w:hint="eastAsia" w:ascii="仿宋_GB2312"/>
                <w:sz w:val="21"/>
                <w:szCs w:val="21"/>
              </w:rPr>
              <w:t>或服务对</w:t>
            </w:r>
          </w:p>
          <w:p>
            <w:pPr>
              <w:spacing w:line="240" w:lineRule="exact"/>
              <w:jc w:val="center"/>
              <w:rPr>
                <w:rFonts w:hint="eastAsia" w:ascii="仿宋_GB2312"/>
                <w:sz w:val="21"/>
                <w:szCs w:val="21"/>
              </w:rPr>
            </w:pPr>
            <w:r>
              <w:rPr>
                <w:rFonts w:hint="eastAsia" w:ascii="仿宋_GB2312"/>
                <w:sz w:val="21"/>
                <w:szCs w:val="21"/>
              </w:rPr>
              <w:t>象满意度（5分）</w:t>
            </w:r>
          </w:p>
        </w:tc>
        <w:tc>
          <w:tcPr>
            <w:tcW w:w="248" w:type="pct"/>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仿宋_GB2312" w:eastAsia="仿宋_GB2312"/>
                <w:sz w:val="21"/>
                <w:szCs w:val="21"/>
                <w:lang w:val="en-US" w:eastAsia="zh-CN"/>
              </w:rPr>
            </w:pPr>
            <w:r>
              <w:rPr>
                <w:rFonts w:hint="eastAsia" w:ascii="仿宋_GB2312"/>
                <w:sz w:val="21"/>
                <w:szCs w:val="21"/>
                <w:lang w:val="en-US" w:eastAsia="zh-CN"/>
              </w:rPr>
              <w:t>4.9</w:t>
            </w:r>
          </w:p>
        </w:tc>
        <w:tc>
          <w:tcPr>
            <w:tcW w:w="1659"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r>
              <w:rPr>
                <w:rFonts w:hint="eastAsia" w:ascii="仿宋_GB2312"/>
                <w:sz w:val="21"/>
                <w:szCs w:val="21"/>
              </w:rPr>
              <w:t>社会公众或部门的服务对象对部门履职效果的满意程度。</w:t>
            </w:r>
          </w:p>
        </w:tc>
        <w:tc>
          <w:tcPr>
            <w:tcW w:w="2076" w:type="pct"/>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sz w:val="21"/>
                <w:szCs w:val="21"/>
              </w:rPr>
            </w:pPr>
            <w:r>
              <w:rPr>
                <w:rFonts w:hint="eastAsia" w:ascii="仿宋_GB2312" w:hAnsi="宋体" w:cs="宋体"/>
                <w:kern w:val="0"/>
                <w:sz w:val="21"/>
                <w:szCs w:val="21"/>
              </w:rPr>
              <w:t>按收集到的服务对象的满意率计算得分（5分）</w:t>
            </w:r>
          </w:p>
        </w:tc>
      </w:tr>
      <w:tr>
        <w:tblPrEx>
          <w:tblCellMar>
            <w:top w:w="0" w:type="dxa"/>
            <w:left w:w="0" w:type="dxa"/>
            <w:bottom w:w="0" w:type="dxa"/>
            <w:right w:w="0" w:type="dxa"/>
          </w:tblCellMar>
        </w:tblPrEx>
        <w:trPr>
          <w:trHeight w:val="567" w:hRule="atLeast"/>
        </w:trPr>
        <w:tc>
          <w:tcPr>
            <w:tcW w:w="1015" w:type="pct"/>
            <w:gridSpan w:val="3"/>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sz w:val="21"/>
                <w:szCs w:val="21"/>
              </w:rPr>
            </w:pPr>
            <w:r>
              <w:rPr>
                <w:rFonts w:hint="eastAsia" w:ascii="仿宋_GB2312"/>
                <w:sz w:val="21"/>
                <w:szCs w:val="21"/>
              </w:rPr>
              <w:t>合   计</w:t>
            </w:r>
          </w:p>
        </w:tc>
        <w:tc>
          <w:tcPr>
            <w:tcW w:w="248" w:type="pct"/>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仿宋_GB2312" w:eastAsia="仿宋_GB2312"/>
                <w:sz w:val="21"/>
                <w:szCs w:val="21"/>
                <w:lang w:val="en-US" w:eastAsia="zh-CN"/>
              </w:rPr>
            </w:pPr>
            <w:r>
              <w:rPr>
                <w:rFonts w:hint="eastAsia" w:ascii="仿宋_GB2312"/>
                <w:sz w:val="21"/>
                <w:szCs w:val="21"/>
                <w:lang w:val="en-US" w:eastAsia="zh-CN"/>
              </w:rPr>
              <w:t>92.2</w:t>
            </w:r>
          </w:p>
        </w:tc>
        <w:tc>
          <w:tcPr>
            <w:tcW w:w="1659"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p>
        </w:tc>
        <w:tc>
          <w:tcPr>
            <w:tcW w:w="2076" w:type="pct"/>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hAnsi="宋体" w:cs="宋体"/>
                <w:kern w:val="0"/>
                <w:sz w:val="21"/>
                <w:szCs w:val="21"/>
              </w:rPr>
            </w:pPr>
          </w:p>
        </w:tc>
      </w:tr>
    </w:tbl>
    <w:p>
      <w:pPr>
        <w:jc w:val="left"/>
        <w:rPr>
          <w:rFonts w:ascii="仿宋" w:hAnsi="仿宋" w:eastAsia="仿宋" w:cs="仿宋"/>
          <w:sz w:val="32"/>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C21DAE"/>
    <w:multiLevelType w:val="multilevel"/>
    <w:tmpl w:val="9AC21DAE"/>
    <w:lvl w:ilvl="0" w:tentative="0">
      <w:start w:val="3"/>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1CE3A97E"/>
    <w:multiLevelType w:val="multilevel"/>
    <w:tmpl w:val="1CE3A97E"/>
    <w:lvl w:ilvl="0" w:tentative="0">
      <w:start w:val="2"/>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285517C1"/>
    <w:multiLevelType w:val="singleLevel"/>
    <w:tmpl w:val="285517C1"/>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0022F24"/>
    <w:rsid w:val="000452DB"/>
    <w:rsid w:val="000B56F7"/>
    <w:rsid w:val="000E1DA1"/>
    <w:rsid w:val="0011267F"/>
    <w:rsid w:val="001352FB"/>
    <w:rsid w:val="00144D50"/>
    <w:rsid w:val="0025703E"/>
    <w:rsid w:val="002D5DD0"/>
    <w:rsid w:val="00361F25"/>
    <w:rsid w:val="003638A2"/>
    <w:rsid w:val="004606BE"/>
    <w:rsid w:val="004C174B"/>
    <w:rsid w:val="004E2F24"/>
    <w:rsid w:val="00582244"/>
    <w:rsid w:val="005E2E58"/>
    <w:rsid w:val="006123DC"/>
    <w:rsid w:val="0065030C"/>
    <w:rsid w:val="0070163B"/>
    <w:rsid w:val="00732CB0"/>
    <w:rsid w:val="008F546E"/>
    <w:rsid w:val="00946F32"/>
    <w:rsid w:val="0096182A"/>
    <w:rsid w:val="009B4C5A"/>
    <w:rsid w:val="00A806B4"/>
    <w:rsid w:val="00AB25EE"/>
    <w:rsid w:val="00AF64D3"/>
    <w:rsid w:val="00B27C51"/>
    <w:rsid w:val="00B44575"/>
    <w:rsid w:val="00BC6D21"/>
    <w:rsid w:val="00BD0975"/>
    <w:rsid w:val="00C44F18"/>
    <w:rsid w:val="00D21CDF"/>
    <w:rsid w:val="00D36804"/>
    <w:rsid w:val="00D83956"/>
    <w:rsid w:val="00DF6FA5"/>
    <w:rsid w:val="00E517E0"/>
    <w:rsid w:val="00EC2A23"/>
    <w:rsid w:val="00EC2AAC"/>
    <w:rsid w:val="00F322AD"/>
    <w:rsid w:val="00F35C36"/>
    <w:rsid w:val="00F44513"/>
    <w:rsid w:val="00F90EA9"/>
    <w:rsid w:val="00F94200"/>
    <w:rsid w:val="00FE3F03"/>
    <w:rsid w:val="05BC2ABF"/>
    <w:rsid w:val="08F11601"/>
    <w:rsid w:val="0CA50C04"/>
    <w:rsid w:val="145267A8"/>
    <w:rsid w:val="18057B1D"/>
    <w:rsid w:val="1C851E1F"/>
    <w:rsid w:val="27F15221"/>
    <w:rsid w:val="2BC645AD"/>
    <w:rsid w:val="2BEC286F"/>
    <w:rsid w:val="2D4378C5"/>
    <w:rsid w:val="2D5725F0"/>
    <w:rsid w:val="304B0557"/>
    <w:rsid w:val="36C65F8E"/>
    <w:rsid w:val="3A972626"/>
    <w:rsid w:val="46F13C59"/>
    <w:rsid w:val="51160F01"/>
    <w:rsid w:val="5B2B4BE2"/>
    <w:rsid w:val="666A2E7A"/>
    <w:rsid w:val="69B52FDE"/>
    <w:rsid w:val="73BD26FE"/>
    <w:rsid w:val="7CE05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semiHidden/>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756</Words>
  <Characters>4313</Characters>
  <Lines>35</Lines>
  <Paragraphs>10</Paragraphs>
  <TotalTime>5</TotalTime>
  <ScaleCrop>false</ScaleCrop>
  <LinksUpToDate>false</LinksUpToDate>
  <CharactersWithSpaces>5059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Administrator</cp:lastModifiedBy>
  <cp:lastPrinted>2020-09-27T09:27:00Z</cp:lastPrinted>
  <dcterms:modified xsi:type="dcterms:W3CDTF">2020-09-29T01:27:40Z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