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rPr>
      </w:pPr>
      <w:r>
        <w:rPr>
          <w:rFonts w:ascii="宋体" w:hAnsi="宋体" w:eastAsia="宋体" w:cs="宋体"/>
          <w:sz w:val="44"/>
        </w:rPr>
        <w:t>目</w:t>
      </w:r>
      <w:r>
        <w:rPr>
          <w:rFonts w:hint="eastAsia" w:ascii="宋体" w:hAnsi="宋体" w:eastAsia="宋体" w:cs="宋体"/>
          <w:sz w:val="44"/>
        </w:rPr>
        <w:t xml:space="preserve">   </w:t>
      </w:r>
      <w:r>
        <w:rPr>
          <w:rFonts w:ascii="方正小标宋_GBK" w:hAnsi="方正小标宋_GBK" w:eastAsia="方正小标宋_GBK" w:cs="方正小标宋_GBK"/>
          <w:sz w:val="44"/>
        </w:rPr>
        <w:t xml:space="preserve"> </w:t>
      </w:r>
      <w:r>
        <w:rPr>
          <w:rFonts w:ascii="宋体" w:hAnsi="宋体" w:eastAsia="宋体" w:cs="宋体"/>
          <w:sz w:val="44"/>
        </w:rPr>
        <w:t>录</w:t>
      </w:r>
    </w:p>
    <w:p>
      <w:pPr>
        <w:spacing w:line="560" w:lineRule="exact"/>
        <w:ind w:firstLine="3200"/>
        <w:rPr>
          <w:rFonts w:ascii="仿宋" w:hAnsi="仿宋" w:eastAsia="仿宋" w:cs="仿宋"/>
          <w:sz w:val="32"/>
        </w:rPr>
      </w:pPr>
    </w:p>
    <w:p>
      <w:pPr>
        <w:spacing w:line="560" w:lineRule="exact"/>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rPr>
        <w:t>益阳市市政工程服务中心</w:t>
      </w:r>
      <w:r>
        <w:rPr>
          <w:rFonts w:ascii="黑体" w:hAnsi="黑体" w:eastAsia="黑体" w:cs="黑体"/>
          <w:sz w:val="32"/>
        </w:rPr>
        <w:t xml:space="preserve">单位概况 </w:t>
      </w:r>
    </w:p>
    <w:p>
      <w:pPr>
        <w:spacing w:line="560" w:lineRule="exact"/>
        <w:rPr>
          <w:rFonts w:ascii="楷体" w:hAnsi="楷体" w:eastAsia="楷体" w:cs="楷体"/>
          <w:sz w:val="32"/>
        </w:rPr>
      </w:pPr>
      <w:r>
        <w:rPr>
          <w:rFonts w:ascii="楷体" w:hAnsi="楷体" w:eastAsia="楷体" w:cs="楷体"/>
          <w:sz w:val="32"/>
        </w:rPr>
        <w:t xml:space="preserve">一、主要职能 </w:t>
      </w:r>
    </w:p>
    <w:p>
      <w:pPr>
        <w:spacing w:line="560" w:lineRule="exact"/>
        <w:rPr>
          <w:rFonts w:ascii="楷体" w:hAnsi="楷体" w:eastAsia="楷体" w:cs="楷体"/>
          <w:sz w:val="32"/>
        </w:rPr>
      </w:pPr>
      <w:r>
        <w:rPr>
          <w:rFonts w:ascii="楷体" w:hAnsi="楷体" w:eastAsia="楷体" w:cs="楷体"/>
          <w:sz w:val="32"/>
        </w:rPr>
        <w:t>二、机构设置</w:t>
      </w:r>
    </w:p>
    <w:p>
      <w:pPr>
        <w:spacing w:line="560" w:lineRule="exact"/>
        <w:rPr>
          <w:rFonts w:ascii="楷体" w:hAnsi="楷体" w:eastAsia="楷体" w:cs="楷体"/>
          <w:sz w:val="32"/>
        </w:rPr>
      </w:pPr>
      <w:r>
        <w:rPr>
          <w:rFonts w:ascii="楷体" w:hAnsi="楷体" w:eastAsia="楷体" w:cs="楷体"/>
          <w:sz w:val="32"/>
        </w:rPr>
        <w:t xml:space="preserve">三、部门决算单位构成 </w:t>
      </w:r>
    </w:p>
    <w:p>
      <w:pPr>
        <w:spacing w:line="560" w:lineRule="exact"/>
        <w:rPr>
          <w:rFonts w:ascii="楷体" w:hAnsi="楷体" w:eastAsia="楷体" w:cs="楷体"/>
          <w:sz w:val="32"/>
        </w:rPr>
      </w:pPr>
    </w:p>
    <w:p>
      <w:pPr>
        <w:spacing w:line="560" w:lineRule="exact"/>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spacing w:line="560" w:lineRule="exact"/>
        <w:rPr>
          <w:rFonts w:ascii="楷体" w:hAnsi="楷体" w:eastAsia="楷体" w:cs="楷体"/>
          <w:sz w:val="32"/>
        </w:rPr>
      </w:pPr>
      <w:r>
        <w:rPr>
          <w:rFonts w:ascii="楷体" w:hAnsi="楷体" w:eastAsia="楷体" w:cs="楷体"/>
          <w:sz w:val="32"/>
        </w:rPr>
        <w:t>一、收入支出决算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r>
        <w:rPr>
          <w:rFonts w:ascii="楷体" w:hAnsi="楷体" w:eastAsia="楷体" w:cs="楷体"/>
          <w:sz w:val="32"/>
        </w:rPr>
        <w:t>二、收入决算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r>
        <w:rPr>
          <w:rFonts w:ascii="楷体" w:hAnsi="楷体" w:eastAsia="楷体" w:cs="楷体"/>
          <w:sz w:val="32"/>
        </w:rPr>
        <w:t>三、支出决算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r>
        <w:rPr>
          <w:rFonts w:ascii="楷体" w:hAnsi="楷体" w:eastAsia="楷体" w:cs="楷体"/>
          <w:sz w:val="32"/>
        </w:rPr>
        <w:t>四、财政拨款收入支出决算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r>
        <w:rPr>
          <w:rFonts w:ascii="楷体" w:hAnsi="楷体" w:eastAsia="楷体" w:cs="楷体"/>
          <w:sz w:val="32"/>
        </w:rPr>
        <w:t>五、一般公共预算财政拨款支出决算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r>
        <w:rPr>
          <w:rFonts w:ascii="楷体" w:hAnsi="楷体" w:eastAsia="楷体" w:cs="楷体"/>
          <w:sz w:val="32"/>
        </w:rPr>
        <w:t>六、一般公共预算财政拨款基本支出决算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r>
        <w:rPr>
          <w:rFonts w:ascii="楷体" w:hAnsi="楷体" w:eastAsia="楷体" w:cs="楷体"/>
          <w:sz w:val="32"/>
        </w:rPr>
        <w:t>七、一般公共预算财政拨款“三公”经费支出决算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r>
        <w:rPr>
          <w:rFonts w:ascii="楷体" w:hAnsi="楷体" w:eastAsia="楷体" w:cs="楷体"/>
          <w:sz w:val="32"/>
        </w:rPr>
        <w:t>八、政府性基金预算财政拨款收入支出决算</w:t>
      </w:r>
      <w:r>
        <w:rPr>
          <w:rFonts w:hint="eastAsia" w:ascii="楷体" w:hAnsi="楷体" w:eastAsia="楷体" w:cs="楷体"/>
          <w:sz w:val="32"/>
        </w:rPr>
        <w:t>公开</w:t>
      </w:r>
      <w:r>
        <w:rPr>
          <w:rFonts w:ascii="楷体" w:hAnsi="楷体" w:eastAsia="楷体" w:cs="楷体"/>
          <w:sz w:val="32"/>
        </w:rPr>
        <w:t xml:space="preserve">表 </w:t>
      </w:r>
    </w:p>
    <w:p>
      <w:pPr>
        <w:spacing w:line="560" w:lineRule="exact"/>
        <w:rPr>
          <w:rFonts w:ascii="楷体" w:hAnsi="楷体" w:eastAsia="楷体" w:cs="楷体"/>
          <w:sz w:val="32"/>
        </w:rPr>
      </w:pPr>
    </w:p>
    <w:p>
      <w:pPr>
        <w:spacing w:line="560" w:lineRule="exact"/>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spacing w:line="560" w:lineRule="exact"/>
        <w:rPr>
          <w:rFonts w:ascii="黑体" w:hAnsi="黑体" w:eastAsia="黑体" w:cs="黑体"/>
          <w:sz w:val="32"/>
        </w:rPr>
      </w:pPr>
    </w:p>
    <w:p>
      <w:pPr>
        <w:numPr>
          <w:ilvl w:val="0"/>
          <w:numId w:val="1"/>
        </w:numPr>
        <w:spacing w:line="560" w:lineRule="exact"/>
        <w:rPr>
          <w:rFonts w:ascii="黑体" w:hAnsi="黑体" w:eastAsia="黑体" w:cs="黑体"/>
          <w:sz w:val="32"/>
        </w:rPr>
      </w:pPr>
      <w:r>
        <w:rPr>
          <w:rFonts w:ascii="黑体" w:hAnsi="黑体" w:eastAsia="黑体" w:cs="黑体"/>
          <w:sz w:val="32"/>
        </w:rPr>
        <w:t>名词解释</w:t>
      </w:r>
    </w:p>
    <w:p>
      <w:pPr>
        <w:spacing w:line="560" w:lineRule="exact"/>
        <w:rPr>
          <w:rFonts w:ascii="黑体" w:hAnsi="黑体" w:eastAsia="黑体" w:cs="黑体"/>
          <w:sz w:val="32"/>
        </w:rPr>
      </w:pPr>
    </w:p>
    <w:p>
      <w:pPr>
        <w:spacing w:line="560" w:lineRule="exact"/>
        <w:rPr>
          <w:rFonts w:ascii="黑体" w:hAnsi="黑体" w:eastAsia="黑体" w:cs="黑体"/>
          <w:sz w:val="32"/>
        </w:rPr>
      </w:pPr>
    </w:p>
    <w:p>
      <w:pPr>
        <w:spacing w:line="560" w:lineRule="exact"/>
        <w:jc w:val="center"/>
        <w:rPr>
          <w:rFonts w:ascii="宋体" w:hAnsi="宋体" w:eastAsia="宋体" w:cs="宋体"/>
          <w:sz w:val="44"/>
        </w:rPr>
      </w:pPr>
    </w:p>
    <w:p>
      <w:pPr>
        <w:spacing w:line="560" w:lineRule="exact"/>
        <w:jc w:val="center"/>
        <w:rPr>
          <w:rFonts w:ascii="宋体" w:hAnsi="宋体" w:eastAsia="宋体" w:cs="宋体"/>
          <w:sz w:val="44"/>
        </w:rPr>
      </w:pPr>
      <w:r>
        <w:rPr>
          <w:rFonts w:hint="eastAsia" w:ascii="宋体" w:hAnsi="宋体" w:eastAsia="宋体" w:cs="宋体"/>
          <w:sz w:val="44"/>
        </w:rPr>
        <w:t>第一部分 益阳市市政工程服务中心</w:t>
      </w:r>
      <w:r>
        <w:rPr>
          <w:rFonts w:ascii="宋体" w:hAnsi="宋体" w:eastAsia="宋体" w:cs="宋体"/>
          <w:sz w:val="44"/>
        </w:rPr>
        <w:t>单位</w:t>
      </w:r>
    </w:p>
    <w:p>
      <w:pPr>
        <w:spacing w:line="560" w:lineRule="exact"/>
        <w:jc w:val="center"/>
        <w:rPr>
          <w:rFonts w:ascii="宋体" w:hAnsi="宋体" w:eastAsia="宋体" w:cs="宋体"/>
          <w:sz w:val="44"/>
        </w:rPr>
      </w:pPr>
      <w:r>
        <w:rPr>
          <w:rFonts w:ascii="宋体" w:hAnsi="宋体" w:eastAsia="宋体" w:cs="宋体"/>
          <w:sz w:val="44"/>
        </w:rPr>
        <w:t>概</w:t>
      </w:r>
      <w:r>
        <w:rPr>
          <w:rFonts w:hint="eastAsia" w:ascii="宋体" w:hAnsi="宋体" w:eastAsia="宋体" w:cs="宋体"/>
          <w:sz w:val="44"/>
        </w:rPr>
        <w:t xml:space="preserve">     </w:t>
      </w:r>
      <w:r>
        <w:rPr>
          <w:rFonts w:ascii="宋体" w:hAnsi="宋体" w:eastAsia="宋体" w:cs="宋体"/>
          <w:sz w:val="44"/>
        </w:rPr>
        <w:t>况</w:t>
      </w:r>
    </w:p>
    <w:p>
      <w:pPr>
        <w:spacing w:line="560" w:lineRule="exact"/>
        <w:jc w:val="center"/>
        <w:rPr>
          <w:rFonts w:ascii="方正小标宋_GBK" w:hAnsi="方正小标宋_GBK" w:eastAsia="方正小标宋_GBK" w:cs="方正小标宋_GBK"/>
          <w:sz w:val="44"/>
        </w:rPr>
      </w:pPr>
    </w:p>
    <w:p>
      <w:pPr>
        <w:spacing w:line="560" w:lineRule="exact"/>
        <w:jc w:val="left"/>
        <w:rPr>
          <w:rFonts w:ascii="黑体" w:hAnsi="黑体" w:eastAsia="黑体" w:cs="黑体"/>
          <w:sz w:val="32"/>
        </w:rPr>
      </w:pPr>
      <w:r>
        <w:rPr>
          <w:rFonts w:ascii="黑体" w:hAnsi="黑体" w:eastAsia="黑体" w:cs="黑体"/>
          <w:sz w:val="32"/>
        </w:rPr>
        <w:t>一、主要职能</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负责编制市政设施维修预算和改造资金计划;负责市本级市政基础设施的维护维修、改造服务工作;参与中心城区市政建设项目竣工验收移交等工作;参与城市防洪排涝工作;参与城市道路占用挖掘、户外广告、排水许可的施工现场查勘和批后的服务工作。</w:t>
      </w:r>
    </w:p>
    <w:p>
      <w:pPr>
        <w:numPr>
          <w:ilvl w:val="0"/>
          <w:numId w:val="2"/>
        </w:numPr>
        <w:spacing w:line="560" w:lineRule="exact"/>
        <w:ind w:firstLine="640" w:firstLineChars="200"/>
        <w:rPr>
          <w:rFonts w:ascii="黑体" w:hAnsi="黑体" w:eastAsia="黑体" w:cs="黑体"/>
          <w:sz w:val="32"/>
        </w:rPr>
      </w:pPr>
      <w:r>
        <w:rPr>
          <w:rFonts w:ascii="黑体" w:hAnsi="黑体" w:eastAsia="黑体" w:cs="黑体"/>
          <w:sz w:val="32"/>
        </w:rPr>
        <w:t>机构设置</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根据《关于市城市管理和综合执法局所属事业单位机构调整的通知》（益编发[ 2019 ]10号）第十二条，益阳市市政工程服务中心属正科级公益一类事业单位，内定设立综合科、工程科两个科室,核定全额拨款事业编制10名（实际在编11人,退休1人）。</w:t>
      </w:r>
    </w:p>
    <w:p>
      <w:pPr>
        <w:spacing w:line="560" w:lineRule="exact"/>
        <w:ind w:firstLine="640" w:firstLineChars="200"/>
        <w:jc w:val="left"/>
        <w:rPr>
          <w:rFonts w:ascii="黑体" w:hAnsi="黑体" w:eastAsia="黑体" w:cs="黑体"/>
          <w:sz w:val="32"/>
        </w:rPr>
      </w:pPr>
      <w:r>
        <w:rPr>
          <w:rFonts w:ascii="黑体" w:hAnsi="黑体" w:eastAsia="黑体" w:cs="黑体"/>
          <w:sz w:val="32"/>
        </w:rPr>
        <w:t>三、部门决算单位构成</w:t>
      </w:r>
    </w:p>
    <w:p>
      <w:pPr>
        <w:spacing w:line="560" w:lineRule="exact"/>
        <w:rPr>
          <w:rFonts w:ascii="仿宋" w:hAnsi="仿宋" w:eastAsia="仿宋" w:cs="仿宋"/>
          <w:sz w:val="32"/>
        </w:rPr>
      </w:pPr>
      <w:r>
        <w:rPr>
          <w:rFonts w:hint="eastAsia" w:ascii="楷体_GB2312" w:hAnsi="楷体_GB2312" w:eastAsia="楷体_GB2312" w:cs="楷体_GB2312"/>
          <w:sz w:val="32"/>
          <w:szCs w:val="32"/>
        </w:rPr>
        <w:t>从决算单位构成看，益阳市市政工程服务中心部门决算包括：益阳市市政工程服务中心，益阳市市政工程建设公司</w:t>
      </w:r>
    </w:p>
    <w:p>
      <w:pPr>
        <w:spacing w:line="560" w:lineRule="exact"/>
        <w:rPr>
          <w:rFonts w:ascii="仿宋" w:hAnsi="仿宋" w:eastAsia="仿宋" w:cs="仿宋"/>
          <w:sz w:val="32"/>
        </w:rPr>
      </w:pPr>
    </w:p>
    <w:tbl>
      <w:tblPr>
        <w:tblStyle w:val="4"/>
        <w:tblW w:w="8081" w:type="dxa"/>
        <w:tblInd w:w="96" w:type="dxa"/>
        <w:tblLayout w:type="fixed"/>
        <w:tblCellMar>
          <w:top w:w="0" w:type="dxa"/>
          <w:left w:w="10" w:type="dxa"/>
          <w:bottom w:w="0" w:type="dxa"/>
          <w:right w:w="10" w:type="dxa"/>
        </w:tblCellMar>
      </w:tblPr>
      <w:tblGrid>
        <w:gridCol w:w="2006"/>
        <w:gridCol w:w="6075"/>
      </w:tblGrid>
      <w:tr>
        <w:tblPrEx>
          <w:tblLayout w:type="fixed"/>
          <w:tblCellMar>
            <w:top w:w="0" w:type="dxa"/>
            <w:left w:w="10" w:type="dxa"/>
            <w:bottom w:w="0" w:type="dxa"/>
            <w:right w:w="10" w:type="dxa"/>
          </w:tblCellMar>
        </w:tblPrEx>
        <w:trPr>
          <w:trHeight w:val="1"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center"/>
            </w:pPr>
            <w:r>
              <w:rPr>
                <w:rFonts w:ascii="仿宋" w:hAnsi="仿宋" w:eastAsia="仿宋" w:cs="仿宋"/>
                <w:b/>
                <w:sz w:val="28"/>
              </w:rPr>
              <w:t>序号</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center"/>
            </w:pPr>
            <w:r>
              <w:rPr>
                <w:rFonts w:hint="eastAsia" w:ascii="楷体_GB2312" w:hAnsi="楷体_GB2312" w:eastAsia="楷体_GB2312" w:cs="楷体_GB2312"/>
                <w:sz w:val="32"/>
                <w:szCs w:val="32"/>
              </w:rPr>
              <w:t>益阳市市政工程服务中心</w:t>
            </w:r>
            <w:r>
              <w:rPr>
                <w:rFonts w:hint="eastAsia" w:ascii="仿宋" w:hAnsi="仿宋" w:eastAsia="仿宋" w:cs="仿宋"/>
                <w:b/>
                <w:sz w:val="28"/>
              </w:rPr>
              <w:t>决算</w:t>
            </w:r>
            <w:r>
              <w:rPr>
                <w:rFonts w:ascii="仿宋" w:hAnsi="仿宋" w:eastAsia="仿宋" w:cs="仿宋"/>
                <w:b/>
                <w:sz w:val="28"/>
              </w:rPr>
              <w:t>单位名称</w:t>
            </w:r>
          </w:p>
        </w:tc>
      </w:tr>
      <w:tr>
        <w:tblPrEx>
          <w:tblLayout w:type="fixed"/>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center"/>
              <w:rPr>
                <w:rFonts w:ascii="楷体_GB2312" w:hAnsi="楷体_GB2312" w:eastAsia="楷体_GB2312" w:cs="楷体_GB2312"/>
              </w:rPr>
            </w:pPr>
            <w:r>
              <w:rPr>
                <w:rFonts w:hint="eastAsia" w:ascii="楷体_GB2312" w:hAnsi="楷体_GB2312" w:eastAsia="楷体_GB2312" w:cs="楷体_GB2312"/>
                <w:b/>
                <w:sz w:val="32"/>
                <w:szCs w:val="32"/>
              </w:rPr>
              <w:t>1</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left"/>
              <w:rPr>
                <w:rFonts w:ascii="楷体_GB2312" w:hAnsi="楷体_GB2312" w:eastAsia="楷体_GB2312" w:cs="楷体_GB2312"/>
                <w:sz w:val="22"/>
              </w:rPr>
            </w:pPr>
            <w:r>
              <w:rPr>
                <w:rFonts w:hint="eastAsia" w:ascii="楷体_GB2312" w:hAnsi="楷体_GB2312" w:eastAsia="楷体_GB2312" w:cs="楷体_GB2312"/>
                <w:sz w:val="32"/>
                <w:szCs w:val="32"/>
              </w:rPr>
              <w:t>益阳市市政工程服务中心</w:t>
            </w:r>
          </w:p>
        </w:tc>
      </w:tr>
      <w:tr>
        <w:tblPrEx>
          <w:tblLayout w:type="fixed"/>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center"/>
              <w:rPr>
                <w:rFonts w:ascii="楷体_GB2312" w:hAnsi="楷体_GB2312" w:eastAsia="楷体_GB2312" w:cs="楷体_GB2312"/>
              </w:rPr>
            </w:pPr>
            <w:r>
              <w:rPr>
                <w:rFonts w:hint="eastAsia" w:ascii="楷体_GB2312" w:hAnsi="楷体_GB2312" w:eastAsia="楷体_GB2312" w:cs="楷体_GB2312"/>
                <w:b/>
                <w:sz w:val="32"/>
                <w:szCs w:val="32"/>
              </w:rPr>
              <w:t>2</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left"/>
              <w:rPr>
                <w:rFonts w:ascii="楷体_GB2312" w:hAnsi="楷体_GB2312" w:eastAsia="楷体_GB2312" w:cs="楷体_GB2312"/>
                <w:sz w:val="22"/>
              </w:rPr>
            </w:pPr>
            <w:r>
              <w:rPr>
                <w:rFonts w:hint="eastAsia" w:ascii="楷体_GB2312" w:hAnsi="楷体_GB2312" w:eastAsia="楷体_GB2312" w:cs="楷体_GB2312"/>
                <w:sz w:val="32"/>
                <w:szCs w:val="32"/>
              </w:rPr>
              <w:t>益阳市市政工程建设公司</w:t>
            </w:r>
          </w:p>
        </w:tc>
      </w:tr>
    </w:tbl>
    <w:p>
      <w:pPr>
        <w:spacing w:line="560" w:lineRule="exact"/>
        <w:rPr>
          <w:rFonts w:ascii="仿宋" w:hAnsi="仿宋" w:eastAsia="仿宋" w:cs="仿宋"/>
          <w:sz w:val="32"/>
        </w:rPr>
      </w:pPr>
    </w:p>
    <w:p>
      <w:pPr>
        <w:spacing w:line="560" w:lineRule="exact"/>
        <w:rPr>
          <w:rFonts w:ascii="仿宋" w:hAnsi="仿宋" w:eastAsia="仿宋" w:cs="仿宋"/>
          <w:sz w:val="32"/>
        </w:rPr>
      </w:pPr>
    </w:p>
    <w:p>
      <w:pPr>
        <w:spacing w:line="560" w:lineRule="exact"/>
        <w:rPr>
          <w:rFonts w:ascii="仿宋" w:hAnsi="仿宋" w:eastAsia="仿宋" w:cs="仿宋"/>
          <w:sz w:val="32"/>
        </w:rPr>
      </w:pPr>
    </w:p>
    <w:p>
      <w:pPr>
        <w:spacing w:line="560" w:lineRule="exact"/>
        <w:rPr>
          <w:rFonts w:ascii="仿宋" w:hAnsi="仿宋" w:eastAsia="仿宋" w:cs="仿宋"/>
          <w:sz w:val="32"/>
        </w:rPr>
      </w:pPr>
    </w:p>
    <w:p>
      <w:pPr>
        <w:numPr>
          <w:ilvl w:val="0"/>
          <w:numId w:val="3"/>
        </w:numPr>
        <w:spacing w:line="560" w:lineRule="exact"/>
        <w:jc w:val="center"/>
        <w:rPr>
          <w:rFonts w:ascii="宋体" w:hAnsi="宋体" w:eastAsia="宋体" w:cs="宋体"/>
          <w:sz w:val="44"/>
        </w:rPr>
      </w:pPr>
      <w:r>
        <w:rPr>
          <w:rFonts w:hint="eastAsia" w:ascii="宋体" w:hAnsi="宋体" w:eastAsia="宋体" w:cs="宋体"/>
          <w:sz w:val="44"/>
        </w:rPr>
        <w:t>益阳市市政工程服务中心</w:t>
      </w:r>
    </w:p>
    <w:p>
      <w:pPr>
        <w:spacing w:line="560" w:lineRule="exact"/>
        <w:jc w:val="center"/>
        <w:rPr>
          <w:rFonts w:ascii="方正小标宋_GBK" w:hAnsi="方正小标宋_GBK" w:eastAsia="方正小标宋_GBK" w:cs="方正小标宋_GBK"/>
          <w:sz w:val="44"/>
        </w:rPr>
      </w:pP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年度部门决算</w:t>
      </w:r>
      <w:r>
        <w:rPr>
          <w:rFonts w:hint="eastAsia" w:ascii="宋体" w:hAnsi="宋体" w:eastAsia="宋体" w:cs="宋体"/>
          <w:sz w:val="44"/>
        </w:rPr>
        <w:t>公开</w:t>
      </w:r>
      <w:r>
        <w:rPr>
          <w:rFonts w:ascii="宋体" w:hAnsi="宋体" w:eastAsia="宋体" w:cs="宋体"/>
          <w:sz w:val="44"/>
        </w:rPr>
        <w:t>表</w:t>
      </w:r>
    </w:p>
    <w:p>
      <w:pPr>
        <w:spacing w:line="560" w:lineRule="exact"/>
        <w:ind w:firstLine="640"/>
        <w:rPr>
          <w:rFonts w:ascii="仿宋" w:hAnsi="仿宋" w:eastAsia="仿宋" w:cs="仿宋"/>
          <w:sz w:val="32"/>
        </w:rPr>
      </w:pPr>
    </w:p>
    <w:p>
      <w:pPr>
        <w:spacing w:line="640" w:lineRule="exact"/>
        <w:jc w:val="left"/>
        <w:rPr>
          <w:rFonts w:ascii="仿宋" w:hAnsi="仿宋" w:eastAsia="仿宋" w:cs="仿宋"/>
          <w:sz w:val="32"/>
        </w:rPr>
      </w:pPr>
      <w:r>
        <w:rPr>
          <w:rFonts w:ascii="仿宋" w:hAnsi="仿宋" w:eastAsia="仿宋" w:cs="仿宋"/>
          <w:sz w:val="32"/>
        </w:rPr>
        <w:t>表1：收入支出决算</w:t>
      </w:r>
      <w:r>
        <w:rPr>
          <w:rFonts w:hint="eastAsia" w:ascii="仿宋" w:hAnsi="仿宋" w:eastAsia="仿宋" w:cs="仿宋"/>
          <w:sz w:val="32"/>
        </w:rPr>
        <w:t>公开</w:t>
      </w:r>
      <w:r>
        <w:rPr>
          <w:rFonts w:ascii="仿宋" w:hAnsi="仿宋" w:eastAsia="仿宋" w:cs="仿宋"/>
          <w:sz w:val="32"/>
        </w:rPr>
        <w:t>表</w:t>
      </w:r>
    </w:p>
    <w:p>
      <w:pPr>
        <w:spacing w:line="640" w:lineRule="exact"/>
        <w:jc w:val="left"/>
        <w:rPr>
          <w:rFonts w:ascii="仿宋" w:hAnsi="仿宋" w:eastAsia="仿宋" w:cs="仿宋"/>
          <w:sz w:val="32"/>
        </w:rPr>
      </w:pPr>
      <w:r>
        <w:rPr>
          <w:rFonts w:ascii="仿宋" w:hAnsi="仿宋" w:eastAsia="仿宋" w:cs="仿宋"/>
          <w:sz w:val="32"/>
        </w:rPr>
        <w:t>表2：收入决算</w:t>
      </w:r>
      <w:r>
        <w:rPr>
          <w:rFonts w:hint="eastAsia" w:ascii="仿宋" w:hAnsi="仿宋" w:eastAsia="仿宋" w:cs="仿宋"/>
          <w:sz w:val="32"/>
        </w:rPr>
        <w:t>公开</w:t>
      </w:r>
      <w:r>
        <w:rPr>
          <w:rFonts w:ascii="仿宋" w:hAnsi="仿宋" w:eastAsia="仿宋" w:cs="仿宋"/>
          <w:sz w:val="32"/>
        </w:rPr>
        <w:t>表</w:t>
      </w:r>
    </w:p>
    <w:p>
      <w:pPr>
        <w:spacing w:line="640" w:lineRule="exact"/>
        <w:jc w:val="left"/>
        <w:rPr>
          <w:rFonts w:ascii="仿宋" w:hAnsi="仿宋" w:eastAsia="仿宋" w:cs="仿宋"/>
          <w:sz w:val="32"/>
        </w:rPr>
      </w:pPr>
      <w:r>
        <w:rPr>
          <w:rFonts w:ascii="仿宋" w:hAnsi="仿宋" w:eastAsia="仿宋" w:cs="仿宋"/>
          <w:sz w:val="32"/>
        </w:rPr>
        <w:t>表3：支出决算</w:t>
      </w:r>
      <w:r>
        <w:rPr>
          <w:rFonts w:hint="eastAsia" w:ascii="仿宋" w:hAnsi="仿宋" w:eastAsia="仿宋" w:cs="仿宋"/>
          <w:sz w:val="32"/>
        </w:rPr>
        <w:t>公开</w:t>
      </w:r>
      <w:r>
        <w:rPr>
          <w:rFonts w:ascii="仿宋" w:hAnsi="仿宋" w:eastAsia="仿宋" w:cs="仿宋"/>
          <w:sz w:val="32"/>
        </w:rPr>
        <w:t>表</w:t>
      </w:r>
    </w:p>
    <w:p>
      <w:pPr>
        <w:spacing w:line="640" w:lineRule="exact"/>
        <w:jc w:val="left"/>
        <w:rPr>
          <w:rFonts w:ascii="仿宋" w:hAnsi="仿宋" w:eastAsia="仿宋" w:cs="仿宋"/>
          <w:sz w:val="32"/>
        </w:rPr>
      </w:pPr>
      <w:r>
        <w:rPr>
          <w:rFonts w:ascii="仿宋" w:hAnsi="仿宋" w:eastAsia="仿宋" w:cs="仿宋"/>
          <w:sz w:val="32"/>
        </w:rPr>
        <w:t>表4：财政拨款收入支出决算</w:t>
      </w:r>
      <w:r>
        <w:rPr>
          <w:rFonts w:hint="eastAsia" w:ascii="仿宋" w:hAnsi="仿宋" w:eastAsia="仿宋" w:cs="仿宋"/>
          <w:sz w:val="32"/>
        </w:rPr>
        <w:t>公开</w:t>
      </w:r>
      <w:r>
        <w:rPr>
          <w:rFonts w:ascii="仿宋" w:hAnsi="仿宋" w:eastAsia="仿宋" w:cs="仿宋"/>
          <w:sz w:val="32"/>
        </w:rPr>
        <w:t>表</w:t>
      </w:r>
    </w:p>
    <w:p>
      <w:pPr>
        <w:spacing w:line="640" w:lineRule="exact"/>
        <w:jc w:val="left"/>
        <w:rPr>
          <w:rFonts w:ascii="仿宋" w:hAnsi="仿宋" w:eastAsia="仿宋" w:cs="仿宋"/>
          <w:sz w:val="32"/>
        </w:rPr>
      </w:pPr>
      <w:r>
        <w:rPr>
          <w:rFonts w:ascii="仿宋" w:hAnsi="仿宋" w:eastAsia="仿宋" w:cs="仿宋"/>
          <w:sz w:val="32"/>
        </w:rPr>
        <w:t>表5：一般公共预算财政拨款支出决算</w:t>
      </w:r>
      <w:r>
        <w:rPr>
          <w:rFonts w:hint="eastAsia" w:ascii="仿宋" w:hAnsi="仿宋" w:eastAsia="仿宋" w:cs="仿宋"/>
          <w:sz w:val="32"/>
        </w:rPr>
        <w:t>公开</w:t>
      </w:r>
      <w:r>
        <w:rPr>
          <w:rFonts w:ascii="仿宋" w:hAnsi="仿宋" w:eastAsia="仿宋" w:cs="仿宋"/>
          <w:sz w:val="32"/>
        </w:rPr>
        <w:t>表</w:t>
      </w:r>
    </w:p>
    <w:p>
      <w:pPr>
        <w:spacing w:line="640" w:lineRule="exact"/>
        <w:jc w:val="left"/>
        <w:rPr>
          <w:rFonts w:ascii="仿宋" w:hAnsi="仿宋" w:eastAsia="仿宋" w:cs="仿宋"/>
          <w:sz w:val="32"/>
        </w:rPr>
      </w:pPr>
      <w:r>
        <w:rPr>
          <w:rFonts w:ascii="仿宋" w:hAnsi="仿宋" w:eastAsia="仿宋" w:cs="仿宋"/>
          <w:sz w:val="32"/>
        </w:rPr>
        <w:t>表6：一般公共预算财政拨款基本支出决算</w:t>
      </w:r>
      <w:r>
        <w:rPr>
          <w:rFonts w:hint="eastAsia" w:ascii="仿宋" w:hAnsi="仿宋" w:eastAsia="仿宋" w:cs="仿宋"/>
          <w:sz w:val="32"/>
        </w:rPr>
        <w:t>公开</w:t>
      </w:r>
      <w:r>
        <w:rPr>
          <w:rFonts w:ascii="仿宋" w:hAnsi="仿宋" w:eastAsia="仿宋" w:cs="仿宋"/>
          <w:sz w:val="32"/>
        </w:rPr>
        <w:t>表</w:t>
      </w:r>
    </w:p>
    <w:p>
      <w:pPr>
        <w:spacing w:line="640" w:lineRule="exact"/>
        <w:jc w:val="left"/>
        <w:rPr>
          <w:rFonts w:hint="eastAsia" w:ascii="仿宋" w:hAnsi="仿宋" w:eastAsia="仿宋" w:cs="仿宋"/>
          <w:sz w:val="32"/>
        </w:rPr>
      </w:pPr>
      <w:r>
        <w:rPr>
          <w:rFonts w:ascii="仿宋" w:hAnsi="仿宋" w:eastAsia="仿宋" w:cs="仿宋"/>
          <w:sz w:val="32"/>
        </w:rPr>
        <w:t>表7：一般公共预算财政拨款“三公”经费支出决算</w:t>
      </w:r>
      <w:r>
        <w:rPr>
          <w:rFonts w:hint="eastAsia" w:ascii="仿宋" w:hAnsi="仿宋" w:eastAsia="仿宋" w:cs="仿宋"/>
          <w:sz w:val="32"/>
        </w:rPr>
        <w:t>公开</w:t>
      </w:r>
      <w:r>
        <w:rPr>
          <w:rFonts w:ascii="仿宋" w:hAnsi="仿宋" w:eastAsia="仿宋" w:cs="仿宋"/>
          <w:sz w:val="32"/>
        </w:rPr>
        <w:t>表</w:t>
      </w:r>
      <w:r>
        <w:rPr>
          <w:rFonts w:hint="eastAsia" w:ascii="仿宋" w:hAnsi="仿宋" w:eastAsia="仿宋" w:cs="仿宋"/>
          <w:sz w:val="32"/>
        </w:rPr>
        <w:t>。</w:t>
      </w:r>
      <w:bookmarkStart w:id="0" w:name="_GoBack"/>
      <w:bookmarkEnd w:id="0"/>
    </w:p>
    <w:p>
      <w:pPr>
        <w:spacing w:line="640" w:lineRule="exact"/>
        <w:ind w:firstLine="640" w:firstLineChars="200"/>
        <w:jc w:val="left"/>
        <w:rPr>
          <w:rFonts w:ascii="仿宋" w:hAnsi="仿宋" w:eastAsia="仿宋" w:cs="仿宋"/>
          <w:sz w:val="32"/>
        </w:rPr>
      </w:pPr>
      <w:r>
        <w:rPr>
          <w:rFonts w:hint="eastAsia" w:ascii="仿宋" w:hAnsi="仿宋" w:eastAsia="仿宋" w:cs="仿宋"/>
          <w:sz w:val="32"/>
        </w:rPr>
        <w:t>益阳市市政工程服务中心无三公经费开支。</w:t>
      </w:r>
    </w:p>
    <w:p>
      <w:pPr>
        <w:spacing w:line="640" w:lineRule="exact"/>
        <w:ind w:left="800" w:hanging="800" w:hangingChars="250"/>
        <w:jc w:val="left"/>
        <w:rPr>
          <w:rFonts w:ascii="仿宋" w:hAnsi="仿宋" w:eastAsia="仿宋" w:cs="仿宋"/>
          <w:sz w:val="32"/>
        </w:rPr>
      </w:pPr>
      <w:r>
        <w:rPr>
          <w:rFonts w:ascii="仿宋" w:hAnsi="仿宋" w:eastAsia="仿宋" w:cs="仿宋"/>
          <w:sz w:val="32"/>
        </w:rPr>
        <w:t>表8：政府性基金预算财政拨款收入支出决算</w:t>
      </w:r>
      <w:r>
        <w:rPr>
          <w:rFonts w:hint="eastAsia" w:ascii="仿宋" w:hAnsi="仿宋" w:eastAsia="仿宋" w:cs="仿宋"/>
          <w:sz w:val="32"/>
        </w:rPr>
        <w:t>公开</w:t>
      </w:r>
      <w:r>
        <w:rPr>
          <w:rFonts w:ascii="仿宋" w:hAnsi="仿宋" w:eastAsia="仿宋" w:cs="仿宋"/>
          <w:sz w:val="32"/>
        </w:rPr>
        <w:t>表</w:t>
      </w:r>
    </w:p>
    <w:p>
      <w:pPr>
        <w:spacing w:line="640" w:lineRule="exact"/>
        <w:jc w:val="left"/>
        <w:rPr>
          <w:rFonts w:ascii="仿宋" w:hAnsi="仿宋" w:eastAsia="仿宋" w:cs="仿宋"/>
          <w:sz w:val="32"/>
        </w:rPr>
      </w:pPr>
      <w:r>
        <w:rPr>
          <w:rFonts w:hint="eastAsia" w:ascii="仿宋" w:hAnsi="仿宋" w:eastAsia="仿宋" w:cs="仿宋"/>
          <w:b/>
          <w:sz w:val="32"/>
        </w:rPr>
        <w:t xml:space="preserve">     </w:t>
      </w:r>
    </w:p>
    <w:p>
      <w:pPr>
        <w:spacing w:line="560" w:lineRule="exact"/>
        <w:ind w:firstLine="640"/>
        <w:jc w:val="left"/>
        <w:rPr>
          <w:rFonts w:ascii="仿宋" w:hAnsi="仿宋" w:eastAsia="仿宋" w:cs="仿宋"/>
          <w:sz w:val="32"/>
        </w:rPr>
      </w:pPr>
    </w:p>
    <w:p>
      <w:pPr>
        <w:spacing w:line="560" w:lineRule="exact"/>
        <w:ind w:firstLine="640"/>
        <w:jc w:val="left"/>
        <w:rPr>
          <w:rFonts w:ascii="仿宋" w:hAnsi="仿宋" w:eastAsia="仿宋" w:cs="仿宋"/>
          <w:sz w:val="32"/>
        </w:rPr>
      </w:pPr>
    </w:p>
    <w:p>
      <w:pPr>
        <w:spacing w:line="560" w:lineRule="exact"/>
        <w:ind w:firstLine="640"/>
        <w:jc w:val="left"/>
        <w:rPr>
          <w:rFonts w:ascii="仿宋" w:hAnsi="仿宋" w:eastAsia="仿宋" w:cs="仿宋"/>
          <w:sz w:val="32"/>
        </w:rPr>
      </w:pPr>
    </w:p>
    <w:p>
      <w:pPr>
        <w:spacing w:line="560" w:lineRule="exact"/>
        <w:ind w:firstLine="640"/>
        <w:jc w:val="left"/>
        <w:rPr>
          <w:rFonts w:ascii="仿宋" w:hAnsi="仿宋" w:eastAsia="仿宋" w:cs="仿宋"/>
          <w:sz w:val="32"/>
        </w:rPr>
      </w:pPr>
    </w:p>
    <w:p>
      <w:pPr>
        <w:spacing w:line="560" w:lineRule="exact"/>
        <w:ind w:firstLine="640"/>
        <w:jc w:val="left"/>
        <w:rPr>
          <w:rFonts w:ascii="仿宋" w:hAnsi="仿宋" w:eastAsia="仿宋" w:cs="仿宋"/>
          <w:sz w:val="32"/>
        </w:rPr>
      </w:pPr>
    </w:p>
    <w:p>
      <w:pPr>
        <w:spacing w:line="560" w:lineRule="exact"/>
        <w:ind w:firstLine="640"/>
        <w:jc w:val="left"/>
        <w:rPr>
          <w:rFonts w:ascii="仿宋" w:hAnsi="仿宋" w:eastAsia="仿宋" w:cs="仿宋"/>
          <w:sz w:val="32"/>
        </w:rPr>
      </w:pPr>
    </w:p>
    <w:p>
      <w:pPr>
        <w:spacing w:line="560" w:lineRule="exact"/>
        <w:jc w:val="center"/>
        <w:rPr>
          <w:rFonts w:ascii="宋体" w:hAnsi="宋体" w:eastAsia="宋体" w:cs="宋体"/>
          <w:sz w:val="44"/>
        </w:rPr>
      </w:pPr>
      <w:r>
        <w:rPr>
          <w:rFonts w:hint="eastAsia" w:ascii="宋体" w:hAnsi="宋体" w:eastAsia="宋体" w:cs="宋体"/>
          <w:sz w:val="44"/>
        </w:rPr>
        <w:t xml:space="preserve"> </w:t>
      </w:r>
    </w:p>
    <w:p>
      <w:pPr>
        <w:spacing w:line="560" w:lineRule="exact"/>
        <w:jc w:val="center"/>
        <w:rPr>
          <w:rFonts w:ascii="方正小标宋_GBK" w:hAnsi="方正小标宋_GBK" w:eastAsia="方正小标宋_GBK" w:cs="方正小标宋_GBK"/>
          <w:sz w:val="44"/>
        </w:rPr>
      </w:pPr>
      <w:r>
        <w:rPr>
          <w:rFonts w:ascii="宋体" w:hAnsi="宋体" w:eastAsia="宋体" w:cs="宋体"/>
          <w:sz w:val="44"/>
        </w:rPr>
        <w:t>第三部分</w:t>
      </w:r>
    </w:p>
    <w:p>
      <w:pPr>
        <w:numPr>
          <w:ilvl w:val="0"/>
          <w:numId w:val="3"/>
        </w:numPr>
        <w:spacing w:line="560" w:lineRule="exact"/>
        <w:jc w:val="center"/>
        <w:rPr>
          <w:rFonts w:ascii="宋体" w:hAnsi="宋体" w:eastAsia="宋体" w:cs="宋体"/>
          <w:sz w:val="44"/>
        </w:rPr>
      </w:pPr>
      <w:r>
        <w:rPr>
          <w:rFonts w:hint="eastAsia" w:ascii="宋体" w:hAnsi="宋体" w:eastAsia="宋体" w:cs="宋体"/>
          <w:sz w:val="44"/>
        </w:rPr>
        <w:t>益阳市市政工程服务中心</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年度部门决算情况说明</w:t>
      </w:r>
    </w:p>
    <w:p>
      <w:pPr>
        <w:spacing w:line="560" w:lineRule="exact"/>
        <w:ind w:firstLine="640"/>
        <w:jc w:val="left"/>
        <w:rPr>
          <w:rFonts w:ascii="黑体" w:hAnsi="黑体" w:eastAsia="黑体" w:cs="黑体"/>
          <w:sz w:val="32"/>
        </w:rPr>
      </w:pPr>
    </w:p>
    <w:p>
      <w:pPr>
        <w:spacing w:line="560" w:lineRule="exact"/>
        <w:ind w:firstLine="640"/>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年度收入支出决算总体情况说明</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益阳市市政工程服务中心2019年度收入总计</w:t>
      </w:r>
      <w:r>
        <w:rPr>
          <w:rFonts w:hint="eastAsia" w:ascii="仿宋_GB2312" w:hAnsi="仿宋" w:eastAsia="仿宋_GB2312"/>
          <w:sz w:val="32"/>
          <w:szCs w:val="32"/>
        </w:rPr>
        <w:t>2135.38</w:t>
      </w:r>
      <w:r>
        <w:rPr>
          <w:rFonts w:hint="eastAsia" w:ascii="楷体_GB2312" w:hAnsi="楷体_GB2312" w:eastAsia="楷体_GB2312" w:cs="楷体_GB2312"/>
          <w:sz w:val="32"/>
        </w:rPr>
        <w:t>万元；支出总计</w:t>
      </w:r>
      <w:r>
        <w:rPr>
          <w:rFonts w:hint="eastAsia" w:ascii="仿宋_GB2312" w:hAnsi="仿宋" w:eastAsia="仿宋_GB2312"/>
          <w:sz w:val="32"/>
          <w:szCs w:val="32"/>
        </w:rPr>
        <w:t>2135.38</w:t>
      </w:r>
      <w:r>
        <w:rPr>
          <w:rFonts w:hint="eastAsia" w:ascii="楷体_GB2312" w:hAnsi="楷体_GB2312" w:eastAsia="楷体_GB2312" w:cs="楷体_GB2312"/>
          <w:sz w:val="32"/>
        </w:rPr>
        <w:t>万元。收支主要用于中心人员和机构运行经费及下级市政工程公司人员和机构运行经费、项目支出经费。</w:t>
      </w:r>
    </w:p>
    <w:p>
      <w:pPr>
        <w:spacing w:line="560" w:lineRule="exact"/>
        <w:ind w:firstLine="640"/>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w:t>
      </w:r>
      <w:r>
        <w:rPr>
          <w:rFonts w:hint="eastAsia" w:ascii="黑体" w:hAnsi="黑体" w:eastAsia="黑体" w:cs="黑体"/>
          <w:sz w:val="32"/>
        </w:rPr>
        <w:t>决算</w:t>
      </w:r>
      <w:r>
        <w:rPr>
          <w:rFonts w:ascii="黑体" w:hAnsi="黑体" w:eastAsia="黑体" w:cs="黑体"/>
          <w:sz w:val="32"/>
        </w:rPr>
        <w:t>情况说明</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2019年度收入合计</w:t>
      </w:r>
      <w:r>
        <w:rPr>
          <w:rFonts w:hint="eastAsia" w:ascii="仿宋_GB2312" w:hAnsi="仿宋" w:eastAsia="仿宋_GB2312"/>
          <w:sz w:val="32"/>
          <w:szCs w:val="32"/>
        </w:rPr>
        <w:t>2135.38</w:t>
      </w:r>
      <w:r>
        <w:rPr>
          <w:rFonts w:hint="eastAsia" w:ascii="楷体_GB2312" w:hAnsi="楷体_GB2312" w:eastAsia="楷体_GB2312" w:cs="楷体_GB2312"/>
          <w:sz w:val="32"/>
        </w:rPr>
        <w:t>万元，其中：财政拨款收入</w:t>
      </w:r>
      <w:r>
        <w:rPr>
          <w:rFonts w:hint="eastAsia" w:ascii="仿宋_GB2312" w:hAnsi="仿宋" w:eastAsia="仿宋_GB2312"/>
          <w:sz w:val="32"/>
          <w:szCs w:val="32"/>
        </w:rPr>
        <w:t>2135.38</w:t>
      </w:r>
      <w:r>
        <w:rPr>
          <w:rFonts w:hint="eastAsia" w:ascii="楷体_GB2312" w:hAnsi="楷体_GB2312" w:eastAsia="楷体_GB2312" w:cs="楷体_GB2312"/>
          <w:sz w:val="32"/>
        </w:rPr>
        <w:t>万元，占 100%；其他收入0 万元，占0%。</w:t>
      </w:r>
    </w:p>
    <w:p>
      <w:pPr>
        <w:spacing w:line="560" w:lineRule="exact"/>
        <w:ind w:firstLine="640"/>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snapToGrid w:val="0"/>
        <w:spacing w:line="52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rPr>
        <w:t>2019年度支出合计</w:t>
      </w:r>
      <w:r>
        <w:rPr>
          <w:rFonts w:hint="eastAsia" w:ascii="仿宋_GB2312" w:hAnsi="仿宋" w:eastAsia="仿宋_GB2312"/>
          <w:sz w:val="32"/>
          <w:szCs w:val="32"/>
        </w:rPr>
        <w:t>2135.38</w:t>
      </w:r>
      <w:r>
        <w:rPr>
          <w:rFonts w:hint="eastAsia" w:ascii="楷体_GB2312" w:hAnsi="楷体_GB2312" w:eastAsia="楷体_GB2312" w:cs="楷体_GB2312"/>
          <w:sz w:val="32"/>
        </w:rPr>
        <w:t>万元，其中：</w:t>
      </w:r>
      <w:r>
        <w:rPr>
          <w:rFonts w:hint="eastAsia" w:ascii="仿宋_GB2312" w:hAnsi="仿宋" w:eastAsia="仿宋_GB2312"/>
          <w:sz w:val="32"/>
          <w:szCs w:val="32"/>
        </w:rPr>
        <w:t>社会保障和就业支出占总支出的0.37%、卫生健康支出占总支出的0.1%、城乡社区支出占总支出的86.44%、农林水支出占总支出的12.88%、住房保障支出占总支出的0.21%</w:t>
      </w:r>
      <w:r>
        <w:rPr>
          <w:rFonts w:hint="eastAsia" w:ascii="仿宋" w:hAnsi="仿宋" w:eastAsia="仿宋" w:cs="Arial"/>
          <w:kern w:val="0"/>
          <w:sz w:val="32"/>
          <w:szCs w:val="32"/>
        </w:rPr>
        <w:t>。</w:t>
      </w:r>
    </w:p>
    <w:p>
      <w:pPr>
        <w:spacing w:line="560" w:lineRule="exact"/>
        <w:ind w:firstLine="640"/>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 xml:space="preserve"> 2019年度财政拨款收入总计</w:t>
      </w:r>
      <w:r>
        <w:rPr>
          <w:rFonts w:hint="eastAsia" w:ascii="仿宋_GB2312" w:hAnsi="仿宋" w:eastAsia="仿宋_GB2312"/>
          <w:sz w:val="32"/>
          <w:szCs w:val="32"/>
        </w:rPr>
        <w:t>2135.38</w:t>
      </w:r>
      <w:r>
        <w:rPr>
          <w:rFonts w:hint="eastAsia" w:ascii="楷体_GB2312" w:hAnsi="楷体_GB2312" w:eastAsia="楷体_GB2312" w:cs="楷体_GB2312"/>
          <w:sz w:val="32"/>
        </w:rPr>
        <w:t>万元；财政拨款支出总计</w:t>
      </w:r>
      <w:r>
        <w:rPr>
          <w:rFonts w:hint="eastAsia" w:ascii="仿宋_GB2312" w:hAnsi="仿宋" w:eastAsia="仿宋_GB2312"/>
          <w:sz w:val="32"/>
          <w:szCs w:val="32"/>
        </w:rPr>
        <w:t>2135.38</w:t>
      </w:r>
      <w:r>
        <w:rPr>
          <w:rFonts w:hint="eastAsia" w:ascii="楷体_GB2312" w:hAnsi="楷体_GB2312" w:eastAsia="楷体_GB2312" w:cs="楷体_GB2312"/>
          <w:sz w:val="32"/>
        </w:rPr>
        <w:t>万元。主要用于：一是服务中心人员和机构运行经费；二是下级市政工程公司人员和机构运行经费、项目支出经费。</w:t>
      </w:r>
    </w:p>
    <w:p>
      <w:pPr>
        <w:spacing w:line="560" w:lineRule="exact"/>
        <w:ind w:firstLine="640"/>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spacing w:line="560" w:lineRule="exact"/>
        <w:ind w:firstLine="320"/>
        <w:rPr>
          <w:rFonts w:ascii="楷体" w:hAnsi="楷体" w:eastAsia="楷体" w:cs="楷体"/>
          <w:sz w:val="32"/>
        </w:rPr>
      </w:pPr>
      <w:r>
        <w:rPr>
          <w:rFonts w:ascii="楷体" w:hAnsi="楷体" w:eastAsia="楷体" w:cs="楷体"/>
          <w:sz w:val="32"/>
        </w:rPr>
        <w:t>（一）一般公共预算财政拨款收入支出决算总体情况。</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2019年度一般公共预算财政拨款收入总计1128.38万元；一般公共预算财政拨款支出总计1128.38万元。主要用于：一是服务中心人员和机构运行经费支出；二是下级市政工程公司人员和机构运行经费支出、项目支出经费。</w:t>
      </w:r>
    </w:p>
    <w:p>
      <w:pPr>
        <w:spacing w:line="560" w:lineRule="exact"/>
        <w:ind w:firstLine="320"/>
        <w:rPr>
          <w:rFonts w:ascii="楷体" w:hAnsi="楷体" w:eastAsia="楷体" w:cs="楷体"/>
          <w:sz w:val="32"/>
        </w:rPr>
      </w:pPr>
      <w:r>
        <w:rPr>
          <w:rFonts w:ascii="楷体" w:hAnsi="楷体" w:eastAsia="楷体" w:cs="楷体"/>
          <w:sz w:val="32"/>
        </w:rPr>
        <w:t>（二）一般公共预算财政拨款支出决算构成情况。</w:t>
      </w:r>
    </w:p>
    <w:p>
      <w:pPr>
        <w:spacing w:line="560" w:lineRule="exact"/>
        <w:ind w:firstLine="640" w:firstLineChars="200"/>
        <w:rPr>
          <w:rFonts w:ascii="楷体_GB2312" w:hAnsi="楷体_GB2312" w:eastAsia="楷体_GB2312" w:cs="楷体_GB2312"/>
          <w:sz w:val="32"/>
        </w:rPr>
      </w:pPr>
      <w:r>
        <w:rPr>
          <w:rFonts w:hint="eastAsia" w:ascii="仿宋_GB2312" w:hAnsi="仿宋" w:eastAsia="仿宋_GB2312"/>
          <w:sz w:val="32"/>
          <w:szCs w:val="32"/>
        </w:rPr>
        <w:t>城乡社区支出838.77</w:t>
      </w:r>
      <w:r>
        <w:rPr>
          <w:rFonts w:hint="eastAsia" w:ascii="楷体_GB2312" w:hAnsi="楷体_GB2312" w:eastAsia="楷体_GB2312" w:cs="楷体_GB2312"/>
          <w:sz w:val="32"/>
        </w:rPr>
        <w:t>万元，占74.33%；</w:t>
      </w:r>
      <w:r>
        <w:rPr>
          <w:rFonts w:hint="eastAsia" w:ascii="仿宋_GB2312" w:hAnsi="仿宋" w:eastAsia="仿宋_GB2312"/>
          <w:sz w:val="32"/>
          <w:szCs w:val="32"/>
        </w:rPr>
        <w:t>农林水支出占总支出275</w:t>
      </w:r>
      <w:r>
        <w:rPr>
          <w:rFonts w:hint="eastAsia" w:ascii="楷体_GB2312" w:hAnsi="楷体_GB2312" w:eastAsia="楷体_GB2312" w:cs="楷体_GB2312"/>
          <w:sz w:val="32"/>
        </w:rPr>
        <w:t>万元，占24.37%；社会保障和就业支出7.82万元，占0.69%；卫生健康支出2.26万元，占0.2%；住房保障支出4.53万元，占0.4%。</w:t>
      </w:r>
    </w:p>
    <w:p>
      <w:pPr>
        <w:spacing w:line="560" w:lineRule="exact"/>
        <w:ind w:firstLine="320"/>
        <w:rPr>
          <w:rFonts w:ascii="楷体" w:hAnsi="楷体" w:eastAsia="楷体" w:cs="楷体"/>
          <w:sz w:val="32"/>
        </w:rPr>
      </w:pPr>
      <w:r>
        <w:rPr>
          <w:rFonts w:ascii="楷体" w:hAnsi="楷体" w:eastAsia="楷体" w:cs="楷体"/>
          <w:sz w:val="32"/>
        </w:rPr>
        <w:t>（三）一般公共预算财政拨款支出决算具体情况。</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1.</w:t>
      </w:r>
      <w:r>
        <w:rPr>
          <w:rFonts w:hint="eastAsia" w:ascii="仿宋_GB2312" w:hAnsi="仿宋" w:eastAsia="仿宋_GB2312"/>
          <w:sz w:val="32"/>
          <w:szCs w:val="32"/>
        </w:rPr>
        <w:t>城乡社区</w:t>
      </w:r>
      <w:r>
        <w:rPr>
          <w:rFonts w:hint="eastAsia" w:ascii="楷体_GB2312" w:hAnsi="楷体_GB2312" w:eastAsia="楷体_GB2312" w:cs="楷体_GB2312"/>
          <w:sz w:val="32"/>
        </w:rPr>
        <w:t>支出财政拨款支出838.77 万元，主要用于下级市政工程公司的市区内公共设备设施的维护与维修材料费、工资、其他一般公共服务支出。</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2.</w:t>
      </w:r>
      <w:r>
        <w:rPr>
          <w:rFonts w:hint="eastAsia" w:ascii="仿宋_GB2312" w:hAnsi="仿宋" w:eastAsia="仿宋_GB2312"/>
          <w:sz w:val="32"/>
          <w:szCs w:val="32"/>
        </w:rPr>
        <w:t>农林水</w:t>
      </w:r>
      <w:r>
        <w:rPr>
          <w:rFonts w:hint="eastAsia" w:ascii="楷体_GB2312" w:hAnsi="楷体_GB2312" w:eastAsia="楷体_GB2312" w:cs="楷体_GB2312"/>
          <w:sz w:val="32"/>
        </w:rPr>
        <w:t>支出财政拨款支出275万元，主要用于下级市政工程公司的一般行政管理事务、其他组织事务支出、其他一般公共服务支出。</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3.社会保障和就业支出财政拨款支出7.82万元，主要用于中心人员养老支出。</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 xml:space="preserve">4.卫生健康支出财政拨款支出2.26万元，主要用于中心人员医疗保障开支。 </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5.住房保障财政拨款支出4.53万元，主要用于中心人员住房公积金支出。</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6.年末结转和结余0.09万元。</w:t>
      </w:r>
    </w:p>
    <w:p>
      <w:pPr>
        <w:spacing w:line="560" w:lineRule="exact"/>
        <w:ind w:firstLine="640" w:firstLineChars="200"/>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2019年度一般公共预算财政拨款基本支出1128.38万元，其中</w:t>
      </w:r>
      <w:r>
        <w:rPr>
          <w:rFonts w:hint="eastAsia" w:ascii="仿宋_GB2312" w:hAnsi="仿宋" w:eastAsia="仿宋_GB2312"/>
          <w:sz w:val="32"/>
          <w:szCs w:val="32"/>
        </w:rPr>
        <w:t>本单位支出为60.48万元（人员经费58.58万元、日常公用经费5.5万元）;对附属单位市政工程公司支出其他支出为1067.9万元.</w:t>
      </w:r>
      <w:r>
        <w:rPr>
          <w:rFonts w:hint="eastAsia" w:ascii="楷体_GB2312" w:hAnsi="楷体_GB2312" w:eastAsia="楷体_GB2312" w:cs="楷体_GB2312"/>
          <w:sz w:val="32"/>
        </w:rPr>
        <w:t>主要包括：基本工资、津贴补贴、奖金、伙食补助费、绩效工资、机关事业单位基本养老保险、职工基本医疗保险、公务员医疗补助、其他社会保障缴费、住房公积金，医疗费、其他工资福利支出和对个人和家庭的补助支出；中心公用经费支出5.5万元，主要包括：办公费、水电费、邮电费、差旅费等商品和服务支出。</w:t>
      </w:r>
    </w:p>
    <w:p>
      <w:pPr>
        <w:spacing w:line="560" w:lineRule="exact"/>
        <w:ind w:firstLine="640"/>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益阳市市政工程服务中心2019年度有政府性基金收入1007</w:t>
      </w:r>
      <w:r>
        <w:rPr>
          <w:rFonts w:hint="eastAsia" w:ascii="仿宋_GB2312" w:hAnsi="仿宋" w:eastAsia="仿宋_GB2312"/>
          <w:sz w:val="32"/>
          <w:szCs w:val="32"/>
        </w:rPr>
        <w:t>万元</w:t>
      </w:r>
      <w:r>
        <w:rPr>
          <w:rFonts w:hint="eastAsia" w:ascii="楷体_GB2312" w:hAnsi="楷体_GB2312" w:eastAsia="楷体_GB2312" w:cs="楷体_GB2312"/>
          <w:sz w:val="32"/>
          <w:szCs w:val="32"/>
        </w:rPr>
        <w:t>，有政府性基金安排的支出1007</w:t>
      </w:r>
      <w:r>
        <w:rPr>
          <w:rFonts w:hint="eastAsia" w:ascii="仿宋_GB2312" w:hAnsi="仿宋" w:eastAsia="仿宋_GB2312"/>
          <w:sz w:val="32"/>
          <w:szCs w:val="32"/>
        </w:rPr>
        <w:t>万元,附属单位市政工程公司支出其他支出为1007万元.</w:t>
      </w:r>
      <w:r>
        <w:rPr>
          <w:rFonts w:hint="eastAsia" w:ascii="楷体_GB2312" w:hAnsi="楷体_GB2312" w:eastAsia="楷体_GB2312" w:cs="楷体_GB2312"/>
          <w:sz w:val="32"/>
        </w:rPr>
        <w:t>主要包括：市区内公共设备设施的维护与维修的材料费及工资</w:t>
      </w:r>
      <w:r>
        <w:rPr>
          <w:rFonts w:hint="eastAsia" w:ascii="楷体_GB2312" w:hAnsi="楷体_GB2312" w:eastAsia="楷体_GB2312" w:cs="楷体_GB2312"/>
          <w:sz w:val="32"/>
          <w:szCs w:val="32"/>
        </w:rPr>
        <w:t>。</w:t>
      </w:r>
    </w:p>
    <w:p>
      <w:pPr>
        <w:spacing w:line="560" w:lineRule="exact"/>
        <w:ind w:firstLine="640"/>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益阳市市政工程服务中心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spacing w:line="560" w:lineRule="exact"/>
        <w:ind w:firstLine="640"/>
        <w:rPr>
          <w:rFonts w:ascii="楷体" w:hAnsi="楷体" w:eastAsia="楷体" w:cs="楷体"/>
          <w:sz w:val="32"/>
        </w:rPr>
      </w:pPr>
      <w:r>
        <w:rPr>
          <w:rFonts w:ascii="楷体" w:hAnsi="楷体" w:eastAsia="楷体" w:cs="楷体"/>
          <w:sz w:val="32"/>
        </w:rPr>
        <w:t>“三公”经费财政拨款支出决算总体情况说明。</w:t>
      </w:r>
    </w:p>
    <w:p>
      <w:pPr>
        <w:spacing w:line="560" w:lineRule="exact"/>
        <w:ind w:firstLine="640"/>
        <w:rPr>
          <w:rFonts w:hint="eastAsia" w:ascii="楷体_GB2312" w:hAnsi="楷体_GB2312" w:eastAsia="楷体_GB2312" w:cs="楷体_GB2312"/>
          <w:sz w:val="32"/>
          <w:lang w:eastAsia="zh-CN"/>
        </w:rPr>
      </w:pPr>
      <w:r>
        <w:rPr>
          <w:rFonts w:hint="eastAsia" w:ascii="楷体_GB2312" w:hAnsi="楷体_GB2312" w:eastAsia="楷体_GB2312" w:cs="楷体_GB2312"/>
          <w:sz w:val="32"/>
        </w:rPr>
        <w:t>2019年度“三公”经费财政拨款支出预算为0万元，支出决算无</w:t>
      </w:r>
      <w:r>
        <w:rPr>
          <w:rFonts w:hint="eastAsia" w:ascii="楷体_GB2312" w:hAnsi="楷体_GB2312" w:eastAsia="楷体_GB2312" w:cs="楷体_GB2312"/>
          <w:sz w:val="32"/>
          <w:lang w:eastAsia="zh-CN"/>
        </w:rPr>
        <w:t>。</w:t>
      </w:r>
    </w:p>
    <w:p>
      <w:pPr>
        <w:spacing w:line="560" w:lineRule="exact"/>
        <w:ind w:firstLine="640"/>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2019年度预算绩效情况说明</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根据年初部门整体支出预算绩效目标，结合全年工作情况，我委2019年度整体支出绩效完成较好。一是资金使用效益高。基本支出经费保障了人员工资、机关运转；二是资金使用社会效益好。专项支出经费保障了发改项目工作顺利开展及上级交办的一系列工作。</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在今后的工作我委一方面要严格预算编制，做到细化精确，争取一些费用纳入财政预算中；另一方面经费开支要严格按照八项规定执行。</w:t>
      </w:r>
    </w:p>
    <w:p>
      <w:pPr>
        <w:spacing w:line="560" w:lineRule="exact"/>
        <w:ind w:firstLine="640"/>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spacing w:line="560" w:lineRule="exact"/>
        <w:ind w:firstLine="640"/>
        <w:rPr>
          <w:rFonts w:ascii="黑体" w:hAnsi="黑体" w:eastAsia="黑体" w:cs="黑体"/>
          <w:sz w:val="32"/>
        </w:rPr>
      </w:pPr>
      <w:r>
        <w:rPr>
          <w:rFonts w:ascii="楷体" w:hAnsi="楷体" w:eastAsia="楷体" w:cs="楷体"/>
          <w:sz w:val="32"/>
        </w:rPr>
        <w:t>（一）预决算收支情况。</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2019年我中心年初预算安排收支</w:t>
      </w:r>
      <w:r>
        <w:rPr>
          <w:rFonts w:hint="eastAsia" w:ascii="仿宋_GB2312" w:hAnsi="仿宋" w:eastAsia="仿宋_GB2312"/>
          <w:sz w:val="32"/>
          <w:szCs w:val="32"/>
        </w:rPr>
        <w:t>581.16</w:t>
      </w:r>
      <w:r>
        <w:rPr>
          <w:rFonts w:hint="eastAsia" w:ascii="楷体_GB2312" w:hAnsi="楷体_GB2312" w:eastAsia="楷体_GB2312" w:cs="楷体_GB2312"/>
          <w:sz w:val="32"/>
        </w:rPr>
        <w:t>万元，决算为</w:t>
      </w:r>
      <w:r>
        <w:rPr>
          <w:rFonts w:hint="eastAsia" w:ascii="仿宋_GB2312" w:hAnsi="仿宋" w:eastAsia="仿宋_GB2312"/>
          <w:sz w:val="32"/>
          <w:szCs w:val="32"/>
        </w:rPr>
        <w:t>2135.38</w:t>
      </w:r>
      <w:r>
        <w:rPr>
          <w:rFonts w:hint="eastAsia" w:ascii="楷体_GB2312" w:hAnsi="楷体_GB2312" w:eastAsia="楷体_GB2312" w:cs="楷体_GB2312"/>
          <w:sz w:val="32"/>
        </w:rPr>
        <w:t>万元。主要用于：一是服务中心人员和机构运行经费；二是下级市政工程公司人员和机构运行经费、项目支出经费。</w:t>
      </w:r>
    </w:p>
    <w:p>
      <w:pPr>
        <w:tabs>
          <w:tab w:val="left" w:pos="954"/>
        </w:tabs>
        <w:spacing w:line="560" w:lineRule="exact"/>
        <w:ind w:firstLine="640" w:firstLineChars="200"/>
        <w:rPr>
          <w:rFonts w:ascii="楷体" w:hAnsi="楷体" w:eastAsia="楷体" w:cs="楷体"/>
          <w:sz w:val="32"/>
        </w:rPr>
      </w:pPr>
      <w:r>
        <w:rPr>
          <w:rFonts w:hint="eastAsia" w:ascii="楷体" w:hAnsi="楷体" w:eastAsia="楷体" w:cs="楷体"/>
          <w:sz w:val="32"/>
        </w:rPr>
        <w:t>（二）</w:t>
      </w:r>
      <w:r>
        <w:rPr>
          <w:rFonts w:ascii="楷体" w:hAnsi="楷体" w:eastAsia="楷体" w:cs="楷体"/>
          <w:sz w:val="32"/>
        </w:rPr>
        <w:t>机关运行经费支出情况。</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2019年度机关运行经费支出5.5万元，主要用于办公费、水电费、邮电费、差旅费等商品和服务</w:t>
      </w:r>
    </w:p>
    <w:p>
      <w:pPr>
        <w:spacing w:line="560" w:lineRule="exact"/>
        <w:ind w:firstLine="640"/>
        <w:rPr>
          <w:rFonts w:ascii="楷体" w:hAnsi="楷体" w:eastAsia="楷体" w:cs="楷体"/>
          <w:sz w:val="32"/>
        </w:rPr>
      </w:pPr>
      <w:r>
        <w:rPr>
          <w:rFonts w:ascii="楷体" w:hAnsi="楷体" w:eastAsia="楷体" w:cs="楷体"/>
          <w:sz w:val="32"/>
        </w:rPr>
        <w:t>（三）政府采购支出情况。</w:t>
      </w:r>
      <w:r>
        <w:rPr>
          <w:rFonts w:hint="eastAsia" w:ascii="楷体" w:hAnsi="楷体" w:eastAsia="楷体" w:cs="楷体"/>
          <w:sz w:val="32"/>
        </w:rPr>
        <w:t>无</w:t>
      </w:r>
    </w:p>
    <w:p>
      <w:pPr>
        <w:spacing w:line="560" w:lineRule="exact"/>
        <w:ind w:firstLine="640"/>
        <w:rPr>
          <w:rFonts w:ascii="楷体" w:hAnsi="楷体" w:eastAsia="楷体" w:cs="楷体"/>
          <w:sz w:val="32"/>
        </w:rPr>
      </w:pPr>
      <w:r>
        <w:rPr>
          <w:rFonts w:ascii="楷体" w:hAnsi="楷体" w:eastAsia="楷体" w:cs="楷体"/>
          <w:sz w:val="32"/>
        </w:rPr>
        <w:t>（四）国有资产占用情况。</w:t>
      </w:r>
    </w:p>
    <w:p>
      <w:pPr>
        <w:spacing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截至2019年12月31日，中心主要资产在下级单位本部门共有车辆16辆(全在下级单位)，其中，载货汽车7辆、轿车2辆、小型客车5辆，工程作业车辆2辆；单位净值834.32万元的土地房屋、净值66.74万元通用设备0台(套)、净值107.56万元专用设备0台(套)、净值家具0.95万元、净值无形资产1.83万元。</w:t>
      </w: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宋体" w:hAnsi="宋体" w:eastAsia="宋体" w:cs="宋体"/>
          <w:sz w:val="44"/>
        </w:rPr>
      </w:pPr>
    </w:p>
    <w:p>
      <w:pPr>
        <w:spacing w:line="520" w:lineRule="exact"/>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spacing w:line="520" w:lineRule="exact"/>
        <w:ind w:firstLine="643"/>
        <w:rPr>
          <w:rFonts w:ascii="仿宋" w:hAnsi="仿宋" w:eastAsia="仿宋" w:cs="仿宋"/>
          <w:b/>
          <w:sz w:val="32"/>
        </w:rPr>
      </w:pPr>
    </w:p>
    <w:p>
      <w:pPr>
        <w:spacing w:line="520" w:lineRule="exact"/>
        <w:ind w:firstLine="643"/>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spacing w:line="520" w:lineRule="exact"/>
        <w:ind w:firstLine="643"/>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520" w:lineRule="exact"/>
        <w:ind w:firstLine="643"/>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spacing w:line="520" w:lineRule="exact"/>
        <w:ind w:firstLine="643"/>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spacing w:line="520" w:lineRule="exact"/>
        <w:ind w:firstLine="643"/>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20" w:lineRule="exact"/>
        <w:ind w:firstLine="643"/>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spacing w:line="520" w:lineRule="exact"/>
        <w:ind w:firstLine="643"/>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spacing w:line="520" w:lineRule="exact"/>
        <w:ind w:firstLine="643"/>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spacing w:line="520" w:lineRule="exact"/>
        <w:ind w:firstLine="643"/>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spacing w:line="520" w:lineRule="exact"/>
        <w:rPr>
          <w:rFonts w:ascii="仿宋" w:hAnsi="仿宋" w:eastAsia="仿宋" w:cs="仿宋"/>
          <w:sz w:val="32"/>
        </w:rPr>
      </w:pPr>
      <w:r>
        <w:rPr>
          <w:rFonts w:ascii="仿宋" w:hAnsi="仿宋" w:eastAsia="仿宋" w:cs="仿宋"/>
          <w:sz w:val="32"/>
        </w:rPr>
        <w:t xml:space="preserve">作任务而发生的人员支出和公用支出。 </w:t>
      </w:r>
    </w:p>
    <w:p>
      <w:pPr>
        <w:spacing w:line="520" w:lineRule="exact"/>
        <w:ind w:firstLine="643"/>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spacing w:line="520" w:lineRule="exact"/>
        <w:ind w:firstLine="643"/>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spacing w:line="520" w:lineRule="exact"/>
        <w:ind w:firstLine="643"/>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20" w:lineRule="exact"/>
        <w:ind w:firstLine="643"/>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3"/>
        <w:jc w:val="left"/>
        <w:rPr>
          <w:rFonts w:ascii="仿宋" w:hAnsi="仿宋" w:eastAsia="仿宋" w:cs="仿宋"/>
          <w:b/>
          <w:color w:val="FF0000"/>
          <w:sz w:val="32"/>
        </w:rPr>
      </w:pPr>
    </w:p>
    <w:p>
      <w:pPr>
        <w:spacing w:line="560" w:lineRule="exact"/>
        <w:ind w:firstLine="640"/>
        <w:jc w:val="left"/>
        <w:rPr>
          <w:rFonts w:ascii="仿宋" w:hAnsi="仿宋" w:eastAsia="仿宋" w:cs="仿宋"/>
          <w:sz w:val="32"/>
        </w:rPr>
      </w:pPr>
    </w:p>
    <w:sectPr>
      <w:headerReference r:id="rId3" w:type="default"/>
      <w:pgSz w:w="11906" w:h="16838"/>
      <w:pgMar w:top="2007" w:right="1800" w:bottom="1440" w:left="197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CDD9"/>
    <w:multiLevelType w:val="singleLevel"/>
    <w:tmpl w:val="1805CDD9"/>
    <w:lvl w:ilvl="0" w:tentative="0">
      <w:start w:val="2"/>
      <w:numFmt w:val="chineseCounting"/>
      <w:suff w:val="nothing"/>
      <w:lvlText w:val="%1、"/>
      <w:lvlJc w:val="left"/>
      <w:rPr>
        <w:rFonts w:hint="eastAsia"/>
      </w:rPr>
    </w:lvl>
  </w:abstractNum>
  <w:abstractNum w:abstractNumId="1">
    <w:nsid w:val="7B065054"/>
    <w:multiLevelType w:val="singleLevel"/>
    <w:tmpl w:val="7B065054"/>
    <w:lvl w:ilvl="0" w:tentative="0">
      <w:start w:val="4"/>
      <w:numFmt w:val="chineseCounting"/>
      <w:suff w:val="space"/>
      <w:lvlText w:val="第%1部分"/>
      <w:lvlJc w:val="left"/>
      <w:rPr>
        <w:rFonts w:hint="eastAsia"/>
      </w:rPr>
    </w:lvl>
  </w:abstractNum>
  <w:abstractNum w:abstractNumId="2">
    <w:nsid w:val="7BF07876"/>
    <w:multiLevelType w:val="singleLevel"/>
    <w:tmpl w:val="7BF07876"/>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044F3"/>
    <w:rsid w:val="00030F8F"/>
    <w:rsid w:val="00087158"/>
    <w:rsid w:val="000B3613"/>
    <w:rsid w:val="000B36D6"/>
    <w:rsid w:val="0011267F"/>
    <w:rsid w:val="001352FB"/>
    <w:rsid w:val="00166D50"/>
    <w:rsid w:val="001C75C6"/>
    <w:rsid w:val="002371E7"/>
    <w:rsid w:val="00305DD2"/>
    <w:rsid w:val="00321E98"/>
    <w:rsid w:val="00331984"/>
    <w:rsid w:val="003538EC"/>
    <w:rsid w:val="00361F25"/>
    <w:rsid w:val="003638A2"/>
    <w:rsid w:val="003933B5"/>
    <w:rsid w:val="004002F9"/>
    <w:rsid w:val="00411967"/>
    <w:rsid w:val="00453FD5"/>
    <w:rsid w:val="0046344F"/>
    <w:rsid w:val="00481CD7"/>
    <w:rsid w:val="00506242"/>
    <w:rsid w:val="00582244"/>
    <w:rsid w:val="005A02C7"/>
    <w:rsid w:val="006302B1"/>
    <w:rsid w:val="00637CE7"/>
    <w:rsid w:val="00645189"/>
    <w:rsid w:val="00675C4E"/>
    <w:rsid w:val="00684113"/>
    <w:rsid w:val="006F0B14"/>
    <w:rsid w:val="00700B43"/>
    <w:rsid w:val="00732CB0"/>
    <w:rsid w:val="007424BA"/>
    <w:rsid w:val="007C2D83"/>
    <w:rsid w:val="0088403A"/>
    <w:rsid w:val="00887A13"/>
    <w:rsid w:val="00915A70"/>
    <w:rsid w:val="00947DCF"/>
    <w:rsid w:val="009B4C5A"/>
    <w:rsid w:val="00A47007"/>
    <w:rsid w:val="00A747AA"/>
    <w:rsid w:val="00A92442"/>
    <w:rsid w:val="00AC1D81"/>
    <w:rsid w:val="00B17A85"/>
    <w:rsid w:val="00B17AC6"/>
    <w:rsid w:val="00B27C51"/>
    <w:rsid w:val="00B415DA"/>
    <w:rsid w:val="00B44575"/>
    <w:rsid w:val="00B94EA2"/>
    <w:rsid w:val="00BD0975"/>
    <w:rsid w:val="00CC11C1"/>
    <w:rsid w:val="00D71536"/>
    <w:rsid w:val="00D767AF"/>
    <w:rsid w:val="00DB1EE8"/>
    <w:rsid w:val="00DB5581"/>
    <w:rsid w:val="00DF4D1F"/>
    <w:rsid w:val="00E04970"/>
    <w:rsid w:val="00E11819"/>
    <w:rsid w:val="00E74D95"/>
    <w:rsid w:val="00EA011C"/>
    <w:rsid w:val="00F322AD"/>
    <w:rsid w:val="00F3575E"/>
    <w:rsid w:val="00F35C36"/>
    <w:rsid w:val="00F94200"/>
    <w:rsid w:val="05DD7512"/>
    <w:rsid w:val="10B353CA"/>
    <w:rsid w:val="12D94DBE"/>
    <w:rsid w:val="177F515F"/>
    <w:rsid w:val="1CB34CA2"/>
    <w:rsid w:val="21C9725C"/>
    <w:rsid w:val="29337902"/>
    <w:rsid w:val="2D3E1277"/>
    <w:rsid w:val="35501B7D"/>
    <w:rsid w:val="366F34B2"/>
    <w:rsid w:val="3E701ADA"/>
    <w:rsid w:val="424D6ACA"/>
    <w:rsid w:val="46B26B05"/>
    <w:rsid w:val="4B3618C0"/>
    <w:rsid w:val="4E38736B"/>
    <w:rsid w:val="5E052052"/>
    <w:rsid w:val="5E89721E"/>
    <w:rsid w:val="654220A1"/>
    <w:rsid w:val="6BD37674"/>
    <w:rsid w:val="6DEC776F"/>
    <w:rsid w:val="71FA6A59"/>
    <w:rsid w:val="77B32518"/>
    <w:rsid w:val="78CD42F6"/>
    <w:rsid w:val="7AF9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615</Words>
  <Characters>3511</Characters>
  <Lines>29</Lines>
  <Paragraphs>8</Paragraphs>
  <TotalTime>107</TotalTime>
  <ScaleCrop>false</ScaleCrop>
  <LinksUpToDate>false</LinksUpToDate>
  <CharactersWithSpaces>4118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2020-09-03T02:01:00Z</cp:lastPrinted>
  <dcterms:modified xsi:type="dcterms:W3CDTF">2020-12-31T02:32:54Z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