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ind w:firstLine="512" w:firstLineChars="150"/>
        <w:rPr>
          <w:rFonts w:hint="eastAsia" w:ascii="方正小标宋简体" w:hAnsi="方正粗黑宋简体" w:eastAsia="方正小标宋简体" w:cs="黑体"/>
          <w:b/>
          <w:bCs/>
          <w:spacing w:val="-10"/>
          <w:sz w:val="36"/>
          <w:szCs w:val="36"/>
        </w:rPr>
      </w:pPr>
      <w:r>
        <w:rPr>
          <w:rFonts w:hint="eastAsia" w:ascii="方正小标宋简体" w:hAnsi="方正粗黑宋简体" w:eastAsia="方正小标宋简体" w:cs="黑体"/>
          <w:b/>
          <w:bCs/>
          <w:spacing w:val="-10"/>
          <w:sz w:val="36"/>
          <w:szCs w:val="36"/>
        </w:rPr>
        <w:t>2</w:t>
      </w:r>
      <w:r>
        <w:rPr>
          <w:rFonts w:hint="eastAsia" w:ascii="方正小标宋简体" w:hAnsi="宋体" w:eastAsia="方正小标宋简体" w:cs="黑体"/>
          <w:b/>
          <w:bCs/>
          <w:spacing w:val="-10"/>
          <w:sz w:val="36"/>
          <w:szCs w:val="36"/>
        </w:rPr>
        <w:t>0</w:t>
      </w:r>
      <w:r>
        <w:rPr>
          <w:rFonts w:hint="eastAsia" w:ascii="方正小标宋简体" w:hAnsi="方正粗黑宋简体" w:eastAsia="方正小标宋简体" w:cs="黑体"/>
          <w:b/>
          <w:bCs/>
          <w:spacing w:val="-10"/>
          <w:sz w:val="36"/>
          <w:szCs w:val="36"/>
        </w:rPr>
        <w:t>19年度中央补助地方公共文化服务体系建设专项资金</w:t>
      </w:r>
    </w:p>
    <w:p>
      <w:pPr>
        <w:spacing w:line="700" w:lineRule="exact"/>
        <w:jc w:val="center"/>
        <w:rPr>
          <w:rFonts w:hint="eastAsia" w:ascii="方正小标宋简体" w:hAnsi="方正粗黑宋简体" w:eastAsia="方正小标宋简体" w:cs="黑体"/>
          <w:b/>
          <w:bCs/>
          <w:spacing w:val="-10"/>
          <w:sz w:val="36"/>
          <w:szCs w:val="36"/>
        </w:rPr>
      </w:pPr>
      <w:r>
        <w:rPr>
          <w:rFonts w:hint="eastAsia" w:ascii="方正小标宋简体" w:hAnsi="方正粗黑宋简体" w:eastAsia="方正小标宋简体" w:cs="黑体"/>
          <w:b/>
          <w:bCs/>
          <w:spacing w:val="-10"/>
          <w:sz w:val="36"/>
          <w:szCs w:val="36"/>
        </w:rPr>
        <w:t xml:space="preserve">绩 </w:t>
      </w:r>
      <w:r>
        <w:rPr>
          <w:rFonts w:hint="eastAsia" w:ascii="方正小标宋简体" w:hAnsi="宋体" w:eastAsia="方正小标宋简体" w:cs="黑体"/>
          <w:b/>
          <w:bCs/>
          <w:spacing w:val="-10"/>
          <w:sz w:val="36"/>
          <w:szCs w:val="36"/>
        </w:rPr>
        <w:t>效</w:t>
      </w:r>
      <w:r>
        <w:rPr>
          <w:rFonts w:hint="eastAsia" w:ascii="方正小标宋简体" w:hAnsi="方正粗黑宋简体" w:eastAsia="方正小标宋简体" w:cs="黑体"/>
          <w:b/>
          <w:bCs/>
          <w:spacing w:val="-10"/>
          <w:sz w:val="36"/>
          <w:szCs w:val="36"/>
        </w:rPr>
        <w:t xml:space="preserve"> 评 价 报 告</w:t>
      </w:r>
    </w:p>
    <w:p>
      <w:pPr>
        <w:spacing w:line="400" w:lineRule="exact"/>
        <w:jc w:val="center"/>
        <w:rPr>
          <w:rFonts w:hint="eastAsia" w:ascii="方正小标宋简体" w:hAnsi="方正粗黑宋简体" w:eastAsia="方正小标宋简体" w:cs="Times New Roman"/>
          <w:b/>
          <w:bCs/>
          <w:spacing w:val="-10"/>
          <w:sz w:val="36"/>
          <w:szCs w:val="36"/>
        </w:rPr>
      </w:pPr>
    </w:p>
    <w:p>
      <w:pPr>
        <w:jc w:val="center"/>
        <w:rPr>
          <w:rFonts w:ascii="仿宋_GB2312" w:hAnsi="方正粗黑宋简体" w:eastAsia="仿宋_GB2312" w:cs="Times New Roman"/>
          <w:sz w:val="32"/>
          <w:szCs w:val="32"/>
        </w:rPr>
      </w:pPr>
      <w:r>
        <w:rPr>
          <w:rFonts w:hint="eastAsia" w:ascii="仿宋_GB2312" w:hAnsi="方正粗黑宋简体" w:eastAsia="仿宋_GB2312" w:cs="Times New Roman"/>
          <w:sz w:val="32"/>
          <w:szCs w:val="32"/>
        </w:rPr>
        <w:t>恒信弘正会计师事务所有限责任公司益阳分所</w:t>
      </w:r>
    </w:p>
    <w:p>
      <w:pPr>
        <w:ind w:firstLine="640" w:firstLineChars="200"/>
        <w:jc w:val="left"/>
        <w:rPr>
          <w:rFonts w:ascii="仿宋_GB2312" w:hAnsi="方正粗黑宋简体" w:eastAsia="仿宋_GB2312" w:cs="Times New Roman"/>
          <w:sz w:val="32"/>
          <w:szCs w:val="32"/>
        </w:rPr>
      </w:pPr>
      <w:r>
        <w:rPr>
          <w:rFonts w:hint="eastAsia" w:ascii="仿宋_GB2312" w:eastAsia="仿宋_GB2312" w:cs="仿宋" w:hAnsiTheme="minorEastAsia"/>
          <w:sz w:val="32"/>
          <w:szCs w:val="32"/>
        </w:rPr>
        <w:t>为加强项目资金管理，合理、有效、规范使用专项资金，最大限度地发挥项目资金效益，</w:t>
      </w:r>
      <w:r>
        <w:rPr>
          <w:rFonts w:hint="eastAsia" w:ascii="仿宋_GB2312" w:eastAsia="仿宋_GB2312" w:cs="仿宋_GB2312" w:hAnsiTheme="minorEastAsia"/>
          <w:sz w:val="32"/>
          <w:szCs w:val="32"/>
          <w:shd w:val="clear" w:color="auto" w:fill="FFFFFF"/>
        </w:rPr>
        <w:t>根据《中共中央国务院关于全面实施预算绩效管理的意见》（中发</w:t>
      </w:r>
      <w:r>
        <w:rPr>
          <w:rFonts w:hint="eastAsia" w:ascii="仿宋_GB2312" w:eastAsia="仿宋_GB2312" w:cs="仿宋_GB2312" w:hAnsiTheme="minorEastAsia"/>
          <w:sz w:val="32"/>
          <w:szCs w:val="32"/>
        </w:rPr>
        <w:t>〔2018</w:t>
      </w:r>
      <w:r>
        <w:rPr>
          <w:rFonts w:hint="eastAsia" w:ascii="仿宋_GB2312" w:eastAsia="仿宋_GB2312" w:hAnsiTheme="minorEastAsia"/>
          <w:bCs/>
          <w:sz w:val="32"/>
          <w:szCs w:val="32"/>
        </w:rPr>
        <w:t>〕34号</w:t>
      </w:r>
      <w:r>
        <w:rPr>
          <w:rFonts w:hint="eastAsia" w:ascii="仿宋_GB2312" w:eastAsia="仿宋_GB2312" w:cs="仿宋_GB2312" w:hAnsiTheme="minorEastAsia"/>
          <w:sz w:val="32"/>
          <w:szCs w:val="32"/>
          <w:shd w:val="clear" w:color="auto" w:fill="FFFFFF"/>
        </w:rPr>
        <w:t>）、</w:t>
      </w:r>
      <w:r>
        <w:rPr>
          <w:rFonts w:hint="eastAsia" w:ascii="仿宋_GB2312" w:eastAsia="仿宋_GB2312" w:cs="仿宋_GB2312" w:hAnsiTheme="minorEastAsia"/>
          <w:sz w:val="32"/>
          <w:szCs w:val="32"/>
        </w:rPr>
        <w:t>《益阳市财政局关于转发〈湖南省预算绩效管理工作规程（试行）〉的通知》（益财绩〔2014〕126号）、《益阳市财政局关于做好2020年市级财政重点绩效评价工作的通知》（益财绩〔2020</w:t>
      </w:r>
      <w:r>
        <w:rPr>
          <w:rFonts w:hint="eastAsia" w:ascii="仿宋_GB2312" w:eastAsia="仿宋_GB2312" w:hAnsiTheme="minorEastAsia"/>
          <w:bCs/>
          <w:sz w:val="32"/>
          <w:szCs w:val="32"/>
        </w:rPr>
        <w:t>〕</w:t>
      </w:r>
      <w:r>
        <w:rPr>
          <w:rFonts w:hint="eastAsia" w:ascii="仿宋_GB2312" w:eastAsia="仿宋_GB2312" w:cs="仿宋_GB2312" w:hAnsiTheme="minorEastAsia"/>
          <w:sz w:val="32"/>
          <w:szCs w:val="32"/>
        </w:rPr>
        <w:t>147号）等文件精神，受市财政局委托，我所成立绩效评价工作组，于2020年7月1日—9月10日对2019年中央补助地方公共文化服务体系建设专项资金开展了绩效评价。现将有关情况报告如下：</w:t>
      </w:r>
    </w:p>
    <w:p>
      <w:pPr>
        <w:topLinePunct/>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一、基本情况</w:t>
      </w:r>
    </w:p>
    <w:p>
      <w:pPr>
        <w:topLinePunct/>
        <w:spacing w:line="600" w:lineRule="exact"/>
        <w:ind w:firstLine="640" w:firstLineChars="20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根据财政部《关于下达2019年中央补助地方公共文化服务体系建设专项资金预算的通知》（财文〔2019〕28号）《湖南省财政厅关于下达2019年中央补助地方公共文化服务体系建设专项资金的通知》（湘财预〔2019〕187号）和《关于提前下达中央补助地方公共文化服务体系建设专项资金2019年预算指标的通知》（财文〔2018〕122号）、《中央补助地方公共文化服务体系建设专项资金管理暂行办法》（财教〔2015〕527号）的精神，湖南省财政厅下达2019年中央补助地方公共文化服务体系建设专项资金334.70万元。其中市本级87.90万元，赫山区86.00万元，资阳区36.00万元，沅江市37.90万元，南县29.40万元，桃江县57.50万元,用于支持和引导地方落实国家基本公共文化服务指导标准和地方基本公共文化服务实施标准，促进基本公共文化服务标准化、均等化，保障群众基本文化权益。具体支持范围包括提供基本公共文化服务项目、公共文化体育设施维修和设备购置、基层公共文化服务人才队伍建设以及基本公共文化服务其他项目。基本公共文化服务项目具体支出范围包括读书看报、收听广播、观看电视、观赏电影、送地方戏、设施开放服务以及开展文体活动等。</w:t>
      </w:r>
    </w:p>
    <w:p>
      <w:pPr>
        <w:topLinePunct/>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二、项目资金使用及项目组织实施情况</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（一）项目预算及资金到位情况</w:t>
      </w:r>
    </w:p>
    <w:p>
      <w:pPr>
        <w:topLinePunct/>
        <w:spacing w:line="600" w:lineRule="exact"/>
        <w:ind w:firstLine="640" w:firstLineChars="200"/>
        <w:rPr>
          <w:rFonts w:ascii="仿宋_GB2312" w:eastAsia="仿宋_GB2312" w:cs="仿宋" w:hAnsiTheme="minorEastAsia"/>
          <w:color w:val="000000" w:themeColor="text1"/>
          <w:sz w:val="32"/>
          <w:szCs w:val="32"/>
        </w:rPr>
      </w:pPr>
      <w:r>
        <w:rPr>
          <w:rFonts w:hint="eastAsia" w:ascii="仿宋_GB2312" w:eastAsia="仿宋_GB2312" w:cs="仿宋" w:hAnsiTheme="minorEastAsia"/>
          <w:color w:val="000000" w:themeColor="text1"/>
          <w:sz w:val="32"/>
          <w:szCs w:val="32"/>
        </w:rPr>
        <w:t>2019年湖南省财政厅下达中央补助地方公共文化服务体系建设专项资金334.70万元，专项用于对全市公共文化服务体系建设绩效评价奖励补助，不得用于个人奖励支出。至当年10月份预算资金已全部拨付到位。</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（二）项目资金使用情况</w:t>
      </w:r>
    </w:p>
    <w:p>
      <w:pPr>
        <w:topLinePunct/>
        <w:spacing w:line="600" w:lineRule="exact"/>
        <w:ind w:firstLine="640" w:firstLineChars="200"/>
        <w:rPr>
          <w:rFonts w:ascii="仿宋_GB2312" w:eastAsia="仿宋_GB2312" w:cs="仿宋" w:hAnsiTheme="minorEastAsia"/>
          <w:color w:val="000000" w:themeColor="text1"/>
          <w:sz w:val="30"/>
          <w:szCs w:val="30"/>
        </w:rPr>
      </w:pPr>
      <w:r>
        <w:rPr>
          <w:rFonts w:hint="eastAsia" w:ascii="仿宋_GB2312" w:eastAsia="仿宋_GB2312" w:cs="仿宋" w:hAnsiTheme="minorEastAsia"/>
          <w:color w:val="000000" w:themeColor="text1"/>
          <w:sz w:val="32"/>
          <w:szCs w:val="32"/>
        </w:rPr>
        <w:t>2019年该项目资金主要用于支持五所图书馆创建国家二级图书馆87.5万元，三家文化市场综合执法先进单位61.2万元，信义教会维修方案编制经费50万元，公共文化服务体系建设三年行动计划成绩突出的两家单位80万元，两处创建湖南民间文化艺术之乡18万元，农村公益电影放映工作开展出色19.5万元，农家书屋工作成绩突出18.5万元。资金使用完成率100%，各子项目资金使用情况见</w:t>
      </w:r>
      <w:r>
        <w:rPr>
          <w:rFonts w:hint="eastAsia" w:ascii="仿宋_GB2312" w:eastAsia="仿宋_GB2312" w:cs="仿宋" w:hAnsiTheme="minorEastAsia"/>
          <w:color w:val="000000" w:themeColor="text1"/>
          <w:sz w:val="30"/>
          <w:szCs w:val="30"/>
        </w:rPr>
        <w:t>表1：</w:t>
      </w:r>
    </w:p>
    <w:p>
      <w:pPr>
        <w:topLinePunct/>
        <w:spacing w:line="600" w:lineRule="exact"/>
        <w:ind w:firstLine="600" w:firstLineChars="200"/>
        <w:jc w:val="center"/>
        <w:rPr>
          <w:rFonts w:ascii="仿宋_GB2312" w:eastAsia="仿宋_GB2312" w:cs="仿宋" w:hAnsiTheme="minorEastAsia"/>
          <w:color w:val="000000" w:themeColor="text1"/>
          <w:sz w:val="30"/>
          <w:szCs w:val="30"/>
        </w:rPr>
      </w:pPr>
      <w:r>
        <w:rPr>
          <w:rFonts w:hint="eastAsia" w:ascii="仿宋_GB2312" w:eastAsia="仿宋_GB2312" w:cs="仿宋" w:hAnsiTheme="minorEastAsia"/>
          <w:color w:val="000000" w:themeColor="text1"/>
          <w:sz w:val="30"/>
          <w:szCs w:val="30"/>
        </w:rPr>
        <w:t xml:space="preserve">           表1：项目资金使用情况           （单位：万元）</w:t>
      </w:r>
    </w:p>
    <w:tbl>
      <w:tblPr>
        <w:tblStyle w:val="7"/>
        <w:tblW w:w="5000" w:type="pct"/>
        <w:tblInd w:w="0" w:type="dxa"/>
        <w:tblLayout w:type="autofit"/>
        <w:tblCellMar>
          <w:top w:w="0" w:type="dxa"/>
          <w:left w:w="108" w:type="dxa"/>
          <w:bottom w:w="0" w:type="dxa"/>
          <w:right w:w="108" w:type="dxa"/>
        </w:tblCellMar>
      </w:tblPr>
      <w:tblGrid>
        <w:gridCol w:w="1116"/>
        <w:gridCol w:w="994"/>
        <w:gridCol w:w="816"/>
        <w:gridCol w:w="877"/>
        <w:gridCol w:w="1194"/>
        <w:gridCol w:w="929"/>
        <w:gridCol w:w="1184"/>
        <w:gridCol w:w="983"/>
        <w:gridCol w:w="967"/>
      </w:tblGrid>
      <w:tr>
        <w:tblPrEx>
          <w:tblCellMar>
            <w:top w:w="0" w:type="dxa"/>
            <w:left w:w="108" w:type="dxa"/>
            <w:bottom w:w="0" w:type="dxa"/>
            <w:right w:w="108" w:type="dxa"/>
          </w:tblCellMar>
        </w:tblPrEx>
        <w:trPr>
          <w:trHeight w:val="1752" w:hRule="atLeast"/>
        </w:trPr>
        <w:tc>
          <w:tcPr>
            <w:tcW w:w="514" w:type="pct"/>
            <w:tcBorders>
              <w:top w:val="single" w:color="000000" w:sz="4" w:space="0"/>
              <w:left w:val="single" w:color="000000" w:sz="4" w:space="0"/>
              <w:bottom w:val="single" w:color="000000" w:sz="8" w:space="0"/>
              <w:right w:val="single" w:color="000000" w:sz="4" w:space="0"/>
              <w:tl2br w:val="single" w:color="auto" w:sz="4" w:space="0"/>
            </w:tcBorders>
            <w:shd w:val="clear" w:color="auto" w:fill="auto"/>
            <w:vAlign w:val="center"/>
          </w:tcPr>
          <w:p>
            <w:pPr>
              <w:widowControl/>
              <w:jc w:val="left"/>
              <w:rPr>
                <w:rFonts w:ascii="仿宋_GB2312" w:hAnsi="宋体" w:eastAsia="仿宋_GB2312" w:cs="宋体"/>
                <w:b/>
                <w:bCs/>
                <w:kern w:val="0"/>
                <w:sz w:val="30"/>
                <w:szCs w:val="30"/>
              </w:rPr>
            </w:pPr>
          </w:p>
        </w:tc>
        <w:tc>
          <w:tcPr>
            <w:tcW w:w="582"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创建国家二级图书馆</w:t>
            </w:r>
          </w:p>
        </w:tc>
        <w:tc>
          <w:tcPr>
            <w:tcW w:w="434"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00" w:lineRule="exact"/>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文化市场综合执法先进单位</w:t>
            </w:r>
          </w:p>
        </w:tc>
        <w:tc>
          <w:tcPr>
            <w:tcW w:w="517"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00" w:lineRule="exact"/>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信义教会维修方案编制经费</w:t>
            </w:r>
          </w:p>
        </w:tc>
        <w:tc>
          <w:tcPr>
            <w:tcW w:w="692"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00" w:lineRule="exact"/>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公共文化服务体系建设三年行动计划成绩突出</w:t>
            </w:r>
          </w:p>
        </w:tc>
        <w:tc>
          <w:tcPr>
            <w:tcW w:w="546"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00" w:lineRule="exact"/>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创建湖南民间文化艺术之乡</w:t>
            </w:r>
          </w:p>
        </w:tc>
        <w:tc>
          <w:tcPr>
            <w:tcW w:w="686"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00" w:lineRule="exact"/>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农村公益电影放映工作开展出色</w:t>
            </w:r>
          </w:p>
        </w:tc>
        <w:tc>
          <w:tcPr>
            <w:tcW w:w="575"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00" w:lineRule="exact"/>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农家书屋工作成绩突出</w:t>
            </w:r>
          </w:p>
        </w:tc>
        <w:tc>
          <w:tcPr>
            <w:tcW w:w="450" w:type="pct"/>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00" w:lineRule="exact"/>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合计</w:t>
            </w:r>
          </w:p>
        </w:tc>
      </w:tr>
      <w:tr>
        <w:tblPrEx>
          <w:tblCellMar>
            <w:top w:w="0" w:type="dxa"/>
            <w:left w:w="108" w:type="dxa"/>
            <w:bottom w:w="0" w:type="dxa"/>
            <w:right w:w="108" w:type="dxa"/>
          </w:tblCellMar>
        </w:tblPrEx>
        <w:trPr>
          <w:trHeight w:val="270" w:hRule="atLeast"/>
        </w:trPr>
        <w:tc>
          <w:tcPr>
            <w:tcW w:w="51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市本级</w:t>
            </w:r>
          </w:p>
        </w:tc>
        <w:tc>
          <w:tcPr>
            <w:tcW w:w="58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17.5</w:t>
            </w:r>
          </w:p>
        </w:tc>
        <w:tc>
          <w:tcPr>
            <w:tcW w:w="43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20.4</w:t>
            </w:r>
          </w:p>
        </w:tc>
        <w:tc>
          <w:tcPr>
            <w:tcW w:w="517"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50</w:t>
            </w:r>
          </w:p>
        </w:tc>
        <w:tc>
          <w:tcPr>
            <w:tcW w:w="69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54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68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575"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450"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87.9</w:t>
            </w:r>
          </w:p>
        </w:tc>
      </w:tr>
      <w:tr>
        <w:tblPrEx>
          <w:tblCellMar>
            <w:top w:w="0" w:type="dxa"/>
            <w:left w:w="108" w:type="dxa"/>
            <w:bottom w:w="0" w:type="dxa"/>
            <w:right w:w="108" w:type="dxa"/>
          </w:tblCellMar>
        </w:tblPrEx>
        <w:trPr>
          <w:trHeight w:val="27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赫山区</w:t>
            </w:r>
          </w:p>
        </w:tc>
        <w:tc>
          <w:tcPr>
            <w:tcW w:w="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17.5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40</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9</w:t>
            </w: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19.5</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86</w:t>
            </w:r>
          </w:p>
        </w:tc>
      </w:tr>
      <w:tr>
        <w:tblPrEx>
          <w:tblCellMar>
            <w:top w:w="0" w:type="dxa"/>
            <w:left w:w="108" w:type="dxa"/>
            <w:bottom w:w="0" w:type="dxa"/>
            <w:right w:w="108" w:type="dxa"/>
          </w:tblCellMar>
        </w:tblPrEx>
        <w:trPr>
          <w:trHeight w:val="270" w:hRule="atLeast"/>
        </w:trPr>
        <w:tc>
          <w:tcPr>
            <w:tcW w:w="51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资阳区</w:t>
            </w:r>
          </w:p>
        </w:tc>
        <w:tc>
          <w:tcPr>
            <w:tcW w:w="58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17.5</w:t>
            </w:r>
          </w:p>
        </w:tc>
        <w:tc>
          <w:tcPr>
            <w:tcW w:w="43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517"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69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54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68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575"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18.5</w:t>
            </w:r>
          </w:p>
        </w:tc>
        <w:tc>
          <w:tcPr>
            <w:tcW w:w="450"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36</w:t>
            </w:r>
          </w:p>
        </w:tc>
      </w:tr>
      <w:tr>
        <w:tblPrEx>
          <w:tblCellMar>
            <w:top w:w="0" w:type="dxa"/>
            <w:left w:w="108" w:type="dxa"/>
            <w:bottom w:w="0" w:type="dxa"/>
            <w:right w:w="108" w:type="dxa"/>
          </w:tblCellMar>
        </w:tblPrEx>
        <w:trPr>
          <w:trHeight w:val="27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沅江市</w:t>
            </w:r>
          </w:p>
        </w:tc>
        <w:tc>
          <w:tcPr>
            <w:tcW w:w="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17.5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20.4</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37.9</w:t>
            </w:r>
          </w:p>
        </w:tc>
      </w:tr>
      <w:tr>
        <w:tblPrEx>
          <w:tblCellMar>
            <w:top w:w="0" w:type="dxa"/>
            <w:left w:w="108" w:type="dxa"/>
            <w:bottom w:w="0" w:type="dxa"/>
            <w:right w:w="108" w:type="dxa"/>
          </w:tblCellMar>
        </w:tblPrEx>
        <w:trPr>
          <w:trHeight w:val="270" w:hRule="atLeast"/>
        </w:trPr>
        <w:tc>
          <w:tcPr>
            <w:tcW w:w="51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南县</w:t>
            </w:r>
          </w:p>
        </w:tc>
        <w:tc>
          <w:tcPr>
            <w:tcW w:w="58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43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20.4</w:t>
            </w:r>
          </w:p>
        </w:tc>
        <w:tc>
          <w:tcPr>
            <w:tcW w:w="517"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69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54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9</w:t>
            </w:r>
          </w:p>
        </w:tc>
        <w:tc>
          <w:tcPr>
            <w:tcW w:w="68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575"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p>
        </w:tc>
        <w:tc>
          <w:tcPr>
            <w:tcW w:w="450"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29.4</w:t>
            </w:r>
          </w:p>
        </w:tc>
      </w:tr>
      <w:tr>
        <w:tblPrEx>
          <w:tblCellMar>
            <w:top w:w="0" w:type="dxa"/>
            <w:left w:w="108" w:type="dxa"/>
            <w:bottom w:w="0" w:type="dxa"/>
            <w:right w:w="108" w:type="dxa"/>
          </w:tblCellMar>
        </w:tblPrEx>
        <w:trPr>
          <w:trHeight w:val="27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桃江县</w:t>
            </w:r>
          </w:p>
        </w:tc>
        <w:tc>
          <w:tcPr>
            <w:tcW w:w="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17.5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40</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p>
        </w:tc>
        <w:tc>
          <w:tcPr>
            <w:tcW w:w="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57.5</w:t>
            </w:r>
          </w:p>
        </w:tc>
      </w:tr>
      <w:tr>
        <w:tblPrEx>
          <w:tblCellMar>
            <w:top w:w="0" w:type="dxa"/>
            <w:left w:w="108" w:type="dxa"/>
            <w:bottom w:w="0" w:type="dxa"/>
            <w:right w:w="108" w:type="dxa"/>
          </w:tblCellMar>
        </w:tblPrEx>
        <w:trPr>
          <w:trHeight w:val="270" w:hRule="atLeast"/>
        </w:trPr>
        <w:tc>
          <w:tcPr>
            <w:tcW w:w="51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合计</w:t>
            </w:r>
          </w:p>
        </w:tc>
        <w:tc>
          <w:tcPr>
            <w:tcW w:w="58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87.5</w:t>
            </w:r>
          </w:p>
        </w:tc>
        <w:tc>
          <w:tcPr>
            <w:tcW w:w="434"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61.2</w:t>
            </w:r>
          </w:p>
        </w:tc>
        <w:tc>
          <w:tcPr>
            <w:tcW w:w="517"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50</w:t>
            </w:r>
          </w:p>
        </w:tc>
        <w:tc>
          <w:tcPr>
            <w:tcW w:w="692"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80</w:t>
            </w:r>
          </w:p>
        </w:tc>
        <w:tc>
          <w:tcPr>
            <w:tcW w:w="54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18</w:t>
            </w:r>
          </w:p>
        </w:tc>
        <w:tc>
          <w:tcPr>
            <w:tcW w:w="686"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19.5</w:t>
            </w:r>
          </w:p>
        </w:tc>
        <w:tc>
          <w:tcPr>
            <w:tcW w:w="575"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18.5</w:t>
            </w:r>
          </w:p>
        </w:tc>
        <w:tc>
          <w:tcPr>
            <w:tcW w:w="450" w:type="pct"/>
            <w:tcBorders>
              <w:top w:val="single" w:color="000000" w:sz="4" w:space="0"/>
              <w:left w:val="single" w:color="000000" w:sz="4" w:space="0"/>
              <w:bottom w:val="single" w:color="000000" w:sz="4" w:space="0"/>
              <w:right w:val="single" w:color="000000" w:sz="4" w:space="0"/>
            </w:tcBorders>
            <w:shd w:val="clear" w:color="D9D9D9" w:fill="D9D9D9"/>
            <w:noWrap/>
            <w:vAlign w:val="center"/>
          </w:tcPr>
          <w:p>
            <w:pPr>
              <w:widowControl/>
              <w:jc w:val="center"/>
              <w:rPr>
                <w:rFonts w:ascii="仿宋_GB2312" w:hAnsi="宋体" w:eastAsia="仿宋_GB2312" w:cs="宋体"/>
                <w:kern w:val="0"/>
                <w:sz w:val="30"/>
                <w:szCs w:val="30"/>
              </w:rPr>
            </w:pPr>
            <w:r>
              <w:rPr>
                <w:rFonts w:hint="eastAsia" w:ascii="仿宋_GB2312" w:hAnsi="宋体" w:eastAsia="仿宋_GB2312" w:cs="宋体"/>
                <w:kern w:val="0"/>
                <w:sz w:val="30"/>
                <w:szCs w:val="30"/>
              </w:rPr>
              <w:t>334.7</w:t>
            </w:r>
          </w:p>
        </w:tc>
      </w:tr>
    </w:tbl>
    <w:p>
      <w:pPr>
        <w:topLinePunct/>
        <w:spacing w:line="600" w:lineRule="exact"/>
        <w:ind w:firstLine="640" w:firstLineChars="200"/>
        <w:rPr>
          <w:rFonts w:ascii="仿宋_GB2312" w:eastAsia="仿宋_GB2312" w:cs="仿宋" w:hAnsiTheme="minorEastAsia"/>
          <w:sz w:val="32"/>
          <w:szCs w:val="32"/>
        </w:rPr>
      </w:pPr>
      <w:r>
        <w:rPr>
          <w:rFonts w:hint="eastAsia" w:ascii="仿宋_GB2312" w:eastAsia="仿宋_GB2312" w:cs="仿宋" w:hAnsiTheme="minorEastAsia"/>
          <w:sz w:val="32"/>
          <w:szCs w:val="32"/>
        </w:rPr>
        <w:t>市级财政部门收到专项资金预算后，及时会商同级相关部门，制定专项资金分配使用方案，在30日内将预算资金按照规定程序下达到本级有关单位和区、县级财政部门。其中：一般项目补助资金用于区、县的部分原则上按照因素分配法下达到区、县级财政部门。重点项目补助资金按照财政厅批复文件下达。奖励资金由省级财政部门按指标统筹安排下达。专项资金分配和使用符合《中央补助地方公共文化服务体系建设专项资金管理办法》，分配合理、使用规范，没有用于平衡预算，没有挤占、截留和挪用。市本级及各区县会同同级相关部门制定了专项资金管理和使用细则，建立群众文化需求反馈机制，结合地方实际情况，统筹安排一般项目补助资金和奖励资金，切实提高专项资金使用效率，避免资金闲置和浪费。市本级专项资金使用中属于政府采购范围的，按照政府采购有关法律制度规定执行。</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（三）项目组织实施情况</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1.创建国家二级图书馆共计五家，合计87.5万元。</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为加快构建现代化公共文化服务体系，促进全国公共图书馆事业健康发展，2017年3月至2018年6月，文化和旅游部开展了第六次全国县级以上公共图书馆评估定级工作，在各地文化行政部门的精心组织和各级公共图书馆的共同努力下，依据第六次全国县级以上公共图书馆评估标准和定级必备条件，经过评估、公示等环节，确定我市5个公共图书馆达到二级以上公共图书馆标准，分别为：益阳市图书馆、桃江县图书馆、赫山区图书馆、资阳区图书馆、沅江市图书馆。奖励资金每个单位为17.5万元，合计87.5万元。奖励资金是对基本公共文化服务绩效评价结果优良地方的奖励，用于支持地方提升公共文化服务质量和服务效果，奖励资金由财政部分配。专项资金不得用于支付各种罚款、捐款、赞助、投资等支出，不得用于编制内在职人员工资性支出和离退休人员离退休费，不得用于偿还债务，不得用于国家规定禁止列支的其他支出。</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益阳市图书馆主要用于：文献资源借阅、检索与咨询，举办公益性讲座、展览，开展阅读推广、宣传活动，基层文化骨干业务辅导，文化信息资源共享工程、公共电子阅览室服务及设备运行维护，流动图书借阅与送书下乡服务，业务活动用房小型修缮及零星业务设备更新等。</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_GB2312" w:hAnsiTheme="minorEastAsia"/>
          <w:sz w:val="32"/>
          <w:szCs w:val="32"/>
        </w:rPr>
        <w:t>赫山区图书馆主要用于：一是数字化建设。购置了大数据显示屏，实现了借阅情况分析，实现了读者分析和图书分析。各业务窗口更新了电脑以及操作系统，解决了业务窗口借书、还书办理缓慢的问题。二是购置书柜和书架。三是组织了丰富的活动。组织了一期绘本阅读推广+手工制作进校园活</w:t>
      </w:r>
      <w:r>
        <w:rPr>
          <w:rFonts w:hint="eastAsia" w:ascii="仿宋_GB2312" w:eastAsia="仿宋_GB2312" w:cs="仿宋" w:hAnsiTheme="minorEastAsia"/>
          <w:kern w:val="0"/>
          <w:sz w:val="32"/>
          <w:szCs w:val="32"/>
        </w:rPr>
        <w:t>动。开展了“书香益阳——阅读引领未来”2019年公共图书馆服务宣传周活动。开展了赫山区第二届绘本故事大赛暨绘本剧表演。组织少年儿童读者开展了爱国诗词书写和绘画活动并评选出10套优秀书法作品和5套优秀绘画作品推荐到省里参加展览。组织了“爱国诗词阅读暨书中人物景致寻访”研学活动，评选出6本优秀阅读研学笔记推荐到省里参加评选活动。</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资阳区图书馆主要用于：一是数字化建设。购置超星移动图书馆，增添专业移动阅读平台，用户可在手机、pad等移动设备上自助完成个人借阅查询、馆藏查阅、图书馆最新资讯浏览，为用户提供方便快捷的移动阅读服务。二是建立以资阳区图书馆为总馆，大码头街道、长春镇、沙头镇、茈湖口等为分馆，区政府、人民路社区等为图书漂流点的总分馆制，完善数字化、网络化服务体系和图书馆配送体系，实现通借通还，促进公共图书馆服务向城乡基层延伸。三是改善阅读环境，为读者提供了舒适、便捷、多元化的阅读服务。</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 xml:space="preserve"> 2.信义教会维修方案编制50万元。</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益阳市一中收到“2019年中央补助地方公共文化服务体系建设专项资金”50万元，用于对信义建筑物文物的维护维修等，学校利用此款建成数字化校史陈列馆和校友接待室。2019年7月，通过公开招标的政府采购方式，开始对信义建筑群进行维修，2019年寒假前大部分已完工，但是由于受疫情影响，加上施工单位为湖北疫区的，直到2020年8月，才得以进来完成维修工程，10月底完成校友接待室布置，11月中旬完成陈列馆的数字化建设。</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3.文化市场综合执法先进单位三家，奖励资金每个单位为20.4万元，合计61.2万元。</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此次抽查的益阳市文化市场综合执法局主要用于：市场巡查、文化市场专项整治、打击文化市场违法违规行为。益阳市文化市场综合执法局一是分行业、分领域，制定详细的巡查计划，共出动执法人员2000余人次，检查经营单位1600家次，发现违法违规行为30余起；二是突出重点时段，抓好巡查计划落实，重点做好大型节庆、会议和暑假、高考期间、岁末年初等重要时间节点的监管工作，共开展文化市场专项整治行动17次，其中“利剑”行动8次，“春雷”行动5次；三是积极履职，重拳打击文化市场违法违规行为，2019年度共办理行政处罚案件31件，其中网吧案件28件，演出市场案件2件，娱乐场所1件。</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4.荣获公共文化服务体系建设三年行动计划成绩突出称号两家，奖励资金为每家40万元，合计80万元。</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赫山区和桃江县获得公共文化服务体系建设三年行动计划成绩突出称号。其中赫山区主要用于：“欢乐潇湘 精彩赫山”系列大型文艺活动、农家书屋建设、文旅平台建设、农村广播整合。全区156个行政村已建成标准村级文化家园70个、农家书屋256个，其中28个省级贫困村已完成村级文化家园建设的有25个。“赫山文旅云”智能平台上线运营，成为益阳市首个文旅一体的网络服务平台。围绕庆祝建国70周年主题活动，成功举办了“欢乐潇湘 多彩赫山”系列群众文艺汇演、“花朵向阳 歌唱祖国”少儿文艺汇演、“读好书 爱中华”阅读推广活动、“我和国旗合个影”摄影活动等。成功举办了“我们的中国梦”——文化进万家、“春节都来嗨，新年我出彩”、“我是雷锋家乡人</w:t>
      </w:r>
      <w:r>
        <w:rPr>
          <w:rFonts w:hint="eastAsia" w:ascii="仿宋_GB2312" w:cs="仿宋" w:hAnsiTheme="minorEastAsia" w:eastAsiaTheme="minorEastAsia"/>
          <w:kern w:val="0"/>
          <w:sz w:val="32"/>
          <w:szCs w:val="32"/>
        </w:rPr>
        <w:t>•</w:t>
      </w:r>
      <w:r>
        <w:rPr>
          <w:rFonts w:hint="eastAsia" w:ascii="仿宋_GB2312" w:eastAsia="仿宋_GB2312" w:cs="仿宋" w:hAnsiTheme="minorEastAsia"/>
          <w:kern w:val="0"/>
          <w:sz w:val="32"/>
          <w:szCs w:val="32"/>
        </w:rPr>
        <w:t>湖湘文化送春风”等文化志愿服务活动。</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5.创建湖南民间文化艺术之乡两处，分别为赫山区和南县，奖励资金为每处9万元，合计18万元。</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赫山区兰溪镇是闻名全省的龙舟艺术之乡，镇内有省级重点文物保护单位一个，省级非遗项目两个，其中兰溪龙舟文化品牌是传承百年的文化品牌，近年来，区、镇两级人民政府投入巨资打造龙舟文化取得明显效果，被上级相关部门授予“龙舟文化艺术之乡”。为彰显地方文化特色和特色文化小镇提升实力，泉交河镇被授予“诗词之乡”。在上级财政部门的支持下，这两个文化艺术之乡文化特色形成初步格局。</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6.赫山区获得农村公益电影放映工作开展出色称号19.5万元。</w:t>
      </w:r>
    </w:p>
    <w:p>
      <w:pPr>
        <w:topLinePunct/>
        <w:spacing w:line="600" w:lineRule="exact"/>
        <w:ind w:firstLine="640" w:firstLineChars="200"/>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农村是文化传播的最基层、最广泛的阵地，公益电影作为广大农民群众喜闻乐见的一种文化娱乐形式，在农村文化传播中始终具有重要的作用。赫山区根据省市核准的任务，2019年度共完成农村公益电影放映3420场。根据项目资金使用计划，此次奖励资金全部用于农村公益电影放映工作：添加电影放映新设备，农村数字电影技术服务平台和监管平台的建设，购买了全年的放映影片、放映设备的损耗及日常维修，各个行政村放映员的培训、工资补贴、表彰奖励、人身意外保险等。</w:t>
      </w:r>
    </w:p>
    <w:p>
      <w:pPr>
        <w:topLinePunct/>
        <w:spacing w:line="600" w:lineRule="exact"/>
        <w:ind w:left="105" w:leftChars="50" w:firstLine="480" w:firstLineChars="150"/>
        <w:jc w:val="left"/>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 xml:space="preserve"> 7.资阳区获得农家书屋工作成绩突出称号18.5万元。</w:t>
      </w:r>
    </w:p>
    <w:p>
      <w:pPr>
        <w:topLinePunct/>
        <w:spacing w:line="600" w:lineRule="exact"/>
        <w:ind w:left="105" w:leftChars="50" w:firstLine="480" w:firstLineChars="150"/>
        <w:jc w:val="left"/>
        <w:rPr>
          <w:rFonts w:ascii="仿宋_GB2312" w:eastAsia="仿宋_GB2312" w:cs="仿宋" w:hAnsiTheme="minorEastAsia"/>
          <w:kern w:val="0"/>
          <w:sz w:val="32"/>
          <w:szCs w:val="32"/>
        </w:rPr>
      </w:pPr>
      <w:r>
        <w:rPr>
          <w:rFonts w:hint="eastAsia" w:ascii="仿宋_GB2312" w:eastAsia="仿宋_GB2312" w:cs="仿宋" w:hAnsiTheme="minorEastAsia"/>
          <w:kern w:val="0"/>
          <w:sz w:val="32"/>
          <w:szCs w:val="32"/>
        </w:rPr>
        <w:t>目前共计用于农家书屋资金23.246万元，该项资金全部使用完毕，单位自筹4.746万元，按照上级文件要求规范使用。一是根据实际情况下拨到村级农家书屋14万元。主要拨付给12个村用于农家书屋日常开支，包括活动开展、设备购置、书籍采购以及临聘管理人员补贴费用。二是用于部分农家书屋建设5.446万元。其中3.248万元用于部分农家书屋基本设备购置，如书桌、书柜；2.198万元用于部分农家书屋文化氛围宣传，如文化墙建设。三是用于农家书屋活动开支。以农家书屋为阵地，开展了“扫黄打非进基层暨书香满农家”文化下乡活动，活动覆盖13个行政村。</w:t>
      </w:r>
    </w:p>
    <w:p>
      <w:pPr>
        <w:topLinePunct/>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三、绩效评价工作情况</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（一）绩效评价目的</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通过绩效评价全面分析2019年中央补助地方公共文化服务体系建设专项资金使用及管理等情况，督促项目单位进一步完善项目披露、实施等程序，规范资金使用及管理，切实提高财政资金使用效益。</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（二）评价依据</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1.中华人民共和国预算法；</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2.中共中央 国务院《关于全面实施预算绩效管理的意见》（中发〔2018〕34号）；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3.《财政支出绩效评价管理暂行办法》（财预〔2011〕285号）；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4.财政部《关于推进预算绩效管理的指导意见》（财预〔2011〕416号）；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5.《益阳市财政局关于转发&lt;湖南省预算绩效管理工作规程（试行）&gt;的通知》（益财绩〔2014〕126号）；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6.《中共湖南省委办公厅 湖南省人民政府办公厅关于全面实施预算绩效管理的实施意见》（湘办发〔2019〕10号）；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7.《关于下达2019年中央补助地方公共文化服务体系建设专项资金预算的通知》（财文〔2019〕28号）；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8.《湖南省财政厅关于下达2019年中央补助地方公共文化服务体系建设专项资金的通知》（湘财预〔2019〕187号）；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9.《关于提前下达中央补助地方公共文化服务体系建设专项资金2019年预算指标的通知》（财文〔2018〕122号）；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10.《中央补助地方公共文化服务体系建设专项资金管理暂行办法》（财教〔2015〕527号）；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11.其他国家相关法律法规和财务会计制度。</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（三）绩效评价工作过程</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按照相关政策规定和益财绩〔2020</w:t>
      </w:r>
      <w:r>
        <w:rPr>
          <w:rFonts w:hint="eastAsia" w:ascii="仿宋_GB2312" w:eastAsia="仿宋_GB2312" w:hAnsiTheme="minorEastAsia"/>
          <w:bCs/>
          <w:sz w:val="32"/>
          <w:szCs w:val="32"/>
        </w:rPr>
        <w:t>〕</w:t>
      </w:r>
      <w:r>
        <w:rPr>
          <w:rFonts w:hint="eastAsia" w:ascii="仿宋_GB2312" w:eastAsia="仿宋_GB2312" w:cs="仿宋_GB2312" w:hAnsiTheme="minorEastAsia"/>
          <w:sz w:val="32"/>
          <w:szCs w:val="32"/>
        </w:rPr>
        <w:t>147号文件要求，我所按下列步骤开展评价：</w:t>
      </w:r>
    </w:p>
    <w:p>
      <w:pPr>
        <w:topLinePunct/>
        <w:spacing w:line="600" w:lineRule="exact"/>
        <w:ind w:firstLine="640" w:firstLineChars="200"/>
        <w:rPr>
          <w:rFonts w:ascii="仿宋_GB2312" w:eastAsia="仿宋_GB2312" w:cs="仿宋_GB2312" w:hAnsiTheme="minorEastAsia"/>
          <w:sz w:val="32"/>
          <w:szCs w:val="32"/>
        </w:rPr>
      </w:pPr>
      <w:r>
        <w:rPr>
          <w:rFonts w:hint="eastAsia" w:ascii="仿宋_GB2312" w:eastAsia="仿宋_GB2312" w:cs="仿宋_GB2312" w:hAnsiTheme="minorEastAsia"/>
          <w:sz w:val="32"/>
          <w:szCs w:val="32"/>
        </w:rPr>
        <w:t xml:space="preserve"> 1．前期准备。我所抽调专人成立绩效评价工作组，明确了工作职责，制定了现场评价方案，设计了相关表格，确定了实施时间。</w:t>
      </w:r>
    </w:p>
    <w:p>
      <w:pPr>
        <w:topLinePunct/>
        <w:spacing w:line="600" w:lineRule="exact"/>
        <w:ind w:firstLine="640" w:firstLineChars="20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2.评价方法。坚持定性与定量分析，全面评价与抽样调查、现场核查与综合分析相结合的方式。2019年中央补助地方公共文化服务体系建设专项资金子项目较多，此次采用抽样调查进行评价，抽查市本级、赫山区、资阳区所有项目共计209.9万元专项资金，抽样样本资金占总资金的62.71%，项目数量占总量的60%。</w:t>
      </w:r>
    </w:p>
    <w:p>
      <w:pPr>
        <w:topLinePunct/>
        <w:spacing w:line="600" w:lineRule="exact"/>
        <w:ind w:firstLine="640" w:firstLineChars="20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3.实施情况。项目绩效评价实施步骤：（1）召开座谈会。分别组织市图书馆、市一中、市文化市场综合执法局、赫山区、资阳区相关单位召开座谈会，听取该项目有关情况介绍。（2）收集核查资料。收集该项目相关政策文件和项目单位相关制度等资料；核查相关制度是否完善，资金使用和管理是否合规、手续是否齐全、是否存在挤占、截留、挪用等情况。（3）现场查看。深入3个区县（市）、9个项目实施单位实地查看，与群众交流座谈，发放问卷调查180份。（4）得出评价结论，形成绩效评价报告。</w:t>
      </w:r>
    </w:p>
    <w:p>
      <w:pPr>
        <w:topLinePunct/>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四、绩效评价结果和主要绩效</w:t>
      </w:r>
    </w:p>
    <w:p>
      <w:pPr>
        <w:topLinePunct/>
        <w:spacing w:line="600" w:lineRule="exact"/>
        <w:ind w:firstLine="640" w:firstLineChars="200"/>
        <w:rPr>
          <w:rFonts w:ascii="仿宋_GB2312" w:eastAsia="仿宋_GB2312" w:cs="Times New Roman" w:hAnsiTheme="minorEastAsia"/>
          <w:color w:val="FF0000"/>
          <w:sz w:val="32"/>
          <w:szCs w:val="32"/>
        </w:rPr>
      </w:pPr>
      <w:r>
        <w:rPr>
          <w:rFonts w:hint="eastAsia" w:ascii="仿宋_GB2312" w:eastAsia="仿宋_GB2312" w:cs="Times New Roman" w:hAnsiTheme="minorEastAsia"/>
          <w:sz w:val="32"/>
          <w:szCs w:val="32"/>
        </w:rPr>
        <w:t>根据该项目资金绩效评价指标体系和绩效检查情况，该项目整体绩效分值100分，实得88分，基本达到“执行计划严格、管理使用规范、地方文化成绩显著”，综合评价等位为“</w:t>
      </w:r>
      <w:r>
        <w:rPr>
          <w:rFonts w:hint="eastAsia" w:ascii="仿宋_GB2312" w:eastAsia="仿宋_GB2312" w:cs="Times New Roman" w:hAnsiTheme="minorEastAsia"/>
          <w:sz w:val="32"/>
          <w:szCs w:val="32"/>
          <w:lang w:eastAsia="zh-CN"/>
        </w:rPr>
        <w:t>良好</w:t>
      </w:r>
      <w:bookmarkStart w:id="0" w:name="_GoBack"/>
      <w:bookmarkEnd w:id="0"/>
      <w:r>
        <w:rPr>
          <w:rFonts w:hint="eastAsia" w:ascii="仿宋_GB2312" w:eastAsia="仿宋_GB2312" w:cs="Times New Roman" w:hAnsiTheme="minorEastAsia"/>
          <w:sz w:val="32"/>
          <w:szCs w:val="32"/>
        </w:rPr>
        <w:t>”。主要绩效表现在以下几个方面：</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（一）村级公共文化服务建设资金及绩效奖励资金绩效显著。</w:t>
      </w:r>
    </w:p>
    <w:p>
      <w:pPr>
        <w:topLinePunct/>
        <w:spacing w:line="600" w:lineRule="exact"/>
        <w:ind w:firstLine="640" w:firstLineChars="20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益阳市高度重视农村公共文化服务体系建设，全面落实中央和省市关于构建现代公共文化服务体系的有关要求，按照“正确导向、政府主导、社会参与、共建共享、改革创新”的工作方针，坚持“公益性、基本性、均等性、便利性”原则，在全面完成乡镇综合性文化站建设的基础上，大力改善村级文化设施条件，加强文化队伍建设，强化优秀历史文化传承与发展，鼓励、引导群众开展丰富多彩的文体活动，净化了民风，改善了村貌，为全市经济社会健康发展提供了强大的精神动力和文化支撑。</w:t>
      </w:r>
    </w:p>
    <w:p>
      <w:pPr>
        <w:topLinePunct/>
        <w:spacing w:line="600" w:lineRule="exact"/>
        <w:ind w:left="64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1.推进改善农村公共文化服务“七个一”标准建设。</w:t>
      </w:r>
    </w:p>
    <w:p>
      <w:pPr>
        <w:topLinePunct/>
        <w:spacing w:line="600" w:lineRule="exact"/>
        <w:ind w:firstLine="640" w:firstLineChars="20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赫山、资阳两区将改善农村公共文化基础设施条件作为农村文化建设的物质载体和农村文化发展的重要标志，按照农村文化建设的基本原则，在“统”字上下功夫，与新农村建设的其他工作统筹部署，同步推进。一是整合资源，统一部署。将农村文化建设与党建、政务服务、精准扶贫等工作统筹谋划，科学布局，整体部署，协调发展。二是注重均等，统一标准。根据村级文化建设“七个一”要求，每个行政村制定了统一的建设标准。三是突出功能，统一实施。专项资金统一投入，为每个建设村统一配送了图书、书架、阅览桌椅、体育健身器材等设施设备。四是力求实效，统一验收。由两区根据省市文件精神对照标准组织验收，依据验收结果兑现奖补资金，悬挂“村级文化家园”牌匾。</w:t>
      </w:r>
    </w:p>
    <w:p>
      <w:pPr>
        <w:topLinePunct/>
        <w:spacing w:line="600" w:lineRule="exact"/>
        <w:ind w:firstLine="640" w:firstLineChars="20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2.努力构建文化遗产体系，打造乡村文化品牌。</w:t>
      </w:r>
    </w:p>
    <w:p>
      <w:pPr>
        <w:topLinePunct/>
        <w:spacing w:line="600" w:lineRule="exact"/>
        <w:ind w:firstLine="640" w:firstLineChars="200"/>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赫山区将农村公共文化建设作为核心内容，与新农村、新城镇和现代农业改革发展示范区建设融合发展。一是弘扬传统文化，筑牢文脉传承阵地。建成了叶紫故居、周谷城故居等7个文化场馆，建立了胡林翼、萧山令、邱桂香等历史文化名人和革命烈士的数字档案，6个项目入选省级“非遗”</w:t>
      </w:r>
    </w:p>
    <w:p>
      <w:pPr>
        <w:topLinePunct/>
        <w:spacing w:line="600" w:lineRule="exact"/>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名录，10个项目入选市级“非遗”名录，泉交河、兰溪镇被誉为“诗词之乡”。二是创新发展路径，开启文化引领新模式。包装打造了古镇米都兰溪、湖湘客厅泉交河、粮仓笔架山、鱼都欧江岔和红色八字哨等一批特色小镇。</w:t>
      </w:r>
    </w:p>
    <w:p>
      <w:pPr>
        <w:topLinePunct/>
        <w:spacing w:line="600" w:lineRule="exact"/>
        <w:ind w:firstLine="645"/>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3.着力提升农村公共文化服务体系品质，建设村级文化家园。</w:t>
      </w:r>
    </w:p>
    <w:p>
      <w:pPr>
        <w:topLinePunct/>
        <w:spacing w:line="600" w:lineRule="exact"/>
        <w:ind w:firstLine="645"/>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一是打造独具特色公共文化服务文化家园。赫山采取以点带面方式，在泉交河镇新松树桥村、新林村、菱角岔村和烂泥湖村同步开展村民服务中心和示范性文化家园建设试点。试点的四个村各具特色，且均具有文化体育健身室外场地、乡村大戏台和各类功能室，均建立了文化艺术队伍和管理制度，所有文艺器材均为群众自发添置，呈现出“群众齐参与、群众共享受”的美好局面。二是注重文化多样性发展，文化内涵更深厚。发展乡村业余花鼓戏剧团9个，文艺社团170个，举办乡镇文化专干、村级文化辅导员和农家书屋管理员业务培训班5期，培养农村社会体育指导员332人，提高了农村文体队伍整体素质。2019年免费送戏下乡55场、送电影下乡3410场，文艺团队巡演1800余场，送春联下乡3000余幅，群众文化活动做到常态化开展。</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（二）农村电影放映进一步扩大影响。</w:t>
      </w:r>
    </w:p>
    <w:p>
      <w:pPr>
        <w:topLinePunct/>
        <w:spacing w:line="600" w:lineRule="exact"/>
        <w:ind w:firstLine="645"/>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农村公益电影放映工程是国家实施的一项公益性农村文化建设工程。赫山区是一个农业大区，农村人口近50万，自然村落256个。在区委宣传部和区文旅广体局的组织领导下，共组织了18支放映队伍，38名放映员每晚奔波在农村第一线。2019年共放映农村公益电影3749场，超额完成了预定的任务。</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（三）文化馆公共文化服务体系建设全面提质。</w:t>
      </w:r>
    </w:p>
    <w:p>
      <w:pPr>
        <w:topLinePunct/>
        <w:spacing w:line="600" w:lineRule="exact"/>
        <w:ind w:firstLine="645"/>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1.拓宽活动场地，增加服务项目。赫山、资阳两区在原有活动场所基础上，新设了少儿书法美术展览厅、少儿书画活动辅导室、电教培训室、阅览室、数字化室、志愿服务站等免费服务项目和场地。</w:t>
      </w:r>
    </w:p>
    <w:p>
      <w:pPr>
        <w:topLinePunct/>
        <w:spacing w:line="600" w:lineRule="exact"/>
        <w:ind w:firstLine="645"/>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2.加强文艺创作，推广演唱作品。赫山区在8月份组织演唱作品创作班，收到演唱作品46件，在全国优秀群文期刊《湖南公共文化》上出了专刊，有两名作者在省级刊物上发表作品。</w:t>
      </w:r>
    </w:p>
    <w:p>
      <w:pPr>
        <w:topLinePunct/>
        <w:spacing w:line="600" w:lineRule="exact"/>
        <w:ind w:firstLine="645"/>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3.多办群文活动，提升服务效能。赫山区文化馆2019年主办、承办、参与组织了大小21项群众文化活动。四是扩大志愿服务，组建艺术志愿辅导队。赫山文化馆健全完善志愿辅导建设，对志愿辅导建设有一定的条件和要求，有工作制度，有培训计划，培训辅导效果较好，受到群众文艺创作和活动队伍的欢迎，该馆的文化志愿服务队被区市推荐参评省里组织的“最佳志愿者组织”评选活动。五是提升免费开放，吸引更多人群。</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（四）充分发挥二级图书馆在引导青少年成长中的责任和义务，促使图书馆真正成为青少年成长的重要基地。</w:t>
      </w:r>
    </w:p>
    <w:p>
      <w:pPr>
        <w:topLinePunct/>
        <w:spacing w:line="600" w:lineRule="exact"/>
        <w:ind w:firstLine="645"/>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益阳市图书馆等五家图书馆评估定级荣获国家二级图书馆。图书馆作为一种典型的现代化文化建筑，具备良好的人文环境设施，宽敞明亮、整洁安静、舒适自由的浓厚文化氛围，潜移默化地陶冶着青少年的情操，润物无声地丰富着他们的心灵，吸引着他们在知识的海洋里遨游。一是营造了安静学习的育人氛围。图书馆有宽敞明亮、整洁雅静的馆舍，有浩如烟海的古今中外的文献信息，有方便快捷、易于接受的现代化服务方式和手段，有乐于奉献、甘做人梯、兢兢业业的图书馆员，有甘于寂寞、不为物欲所动、求知若渴的探求者。图书馆是与宁静、优雅、丰富、睿智等联系在一起的。所有这些构成了图书馆特有的催人奋进、净化心灵的氛围和环境。二是培养青少年广泛阅读的习惯。图书馆在传播知识、传递信息、开发智力等方面有着独特的优势。三是提高青少年获得信息的能力。四是培养青少年独立学习的能力。五是促使青少年个性自由和谐的发展。图书馆承担着社会教育和信息资源开发的双重功能，事实上已成为实施信息素质教育的重要承担者，对青少年信息素质教育发挥了重要的引导作用。图书馆凭借完备的文献信息资源、人才技术及服务优势，可充分发挥在信息素养方面的教育、指导作用，不断培养青少年利用图书馆自主学生的能力及信息的获取和加工处理能力。</w:t>
      </w:r>
    </w:p>
    <w:p>
      <w:pPr>
        <w:topLinePunct/>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五、存在的主要问题</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（一）个别项目执行力度不够，工程进度明显滞后。</w:t>
      </w:r>
    </w:p>
    <w:p>
      <w:pPr>
        <w:topLinePunct/>
        <w:spacing w:line="600" w:lineRule="exact"/>
        <w:ind w:firstLine="640" w:firstLineChars="200"/>
        <w:rPr>
          <w:rFonts w:ascii="仿宋_GB2312" w:eastAsia="仿宋_GB2312" w:cs="仿宋" w:hAnsiTheme="minorEastAsia"/>
          <w:sz w:val="32"/>
          <w:szCs w:val="32"/>
        </w:rPr>
      </w:pPr>
      <w:r>
        <w:rPr>
          <w:rFonts w:hint="eastAsia" w:ascii="仿宋_GB2312" w:eastAsia="仿宋_GB2312" w:cs="仿宋" w:hAnsiTheme="minorEastAsia"/>
          <w:sz w:val="32"/>
          <w:szCs w:val="32"/>
        </w:rPr>
        <w:t>益阳市一中收到“2019年中央补助地方公共文化服务体系建设专项资金”50万元，用于对信义建筑物文物的维护维修等，学校计划利用此款建成数字化校史陈列馆和校友接待室。2019年7月，通过公开招标的政府采购方式，开始对信义建筑群进行维修，截至评价之日项目仍未完工，致使专项资金没有及时发挥效益。</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（二）专项资金账务处理不规范。</w:t>
      </w:r>
    </w:p>
    <w:p>
      <w:pPr>
        <w:topLinePunct/>
        <w:spacing w:line="600" w:lineRule="exact"/>
        <w:ind w:firstLine="645"/>
        <w:rPr>
          <w:rFonts w:ascii="仿宋_GB2312" w:eastAsia="仿宋_GB2312" w:cs="仿宋" w:hAnsiTheme="minorEastAsia"/>
          <w:sz w:val="32"/>
          <w:szCs w:val="32"/>
        </w:rPr>
      </w:pPr>
      <w:r>
        <w:rPr>
          <w:rFonts w:hint="eastAsia" w:ascii="仿宋_GB2312" w:eastAsia="仿宋_GB2312" w:cs="仿宋" w:hAnsiTheme="minorEastAsia"/>
          <w:sz w:val="32"/>
          <w:szCs w:val="32"/>
        </w:rPr>
        <w:t>根据《湖南省财政厅关于下达2019年中央补助地方公共文化服务体系建设专项资金的通知》（湘财预〔2019〕187号）：收入科目列“1100247文化旅游体育与传媒共同财政事权转移支付收入”；支出功能科目列“207999其他文化体育与传媒支出”，政府预算支出经济科目列“505对事业单位经常性补助”，此次抽查的各单位在科目处理中未按要求处理。</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（三）部分项目未实现预期社会效益。</w:t>
      </w:r>
    </w:p>
    <w:p>
      <w:pPr>
        <w:topLinePunct/>
        <w:spacing w:line="600" w:lineRule="exact"/>
        <w:ind w:firstLine="645"/>
        <w:rPr>
          <w:rFonts w:ascii="仿宋_GB2312" w:eastAsia="仿宋_GB2312" w:cs="仿宋" w:hAnsiTheme="minorEastAsia"/>
          <w:sz w:val="32"/>
          <w:szCs w:val="32"/>
        </w:rPr>
      </w:pPr>
      <w:r>
        <w:rPr>
          <w:rFonts w:hint="eastAsia" w:ascii="仿宋_GB2312" w:eastAsia="仿宋_GB2312" w:cs="仿宋" w:hAnsiTheme="minorEastAsia"/>
          <w:sz w:val="32"/>
          <w:szCs w:val="32"/>
        </w:rPr>
        <w:t>由于目前智能手机普及率很高，群众更习惯通过手机进行文化消费。在现场走访、交流过程中，评价组发现农村书屋及文化活动室使用率比较低，部分农村书屋甚至还存在未开门现象。</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（四）项目监管有所欠缺。</w:t>
      </w:r>
    </w:p>
    <w:p>
      <w:pPr>
        <w:topLinePunct/>
        <w:spacing w:line="600" w:lineRule="exact"/>
        <w:ind w:firstLine="645"/>
        <w:rPr>
          <w:rFonts w:ascii="仿宋_GB2312" w:eastAsia="仿宋_GB2312" w:cs="仿宋" w:hAnsiTheme="minorEastAsia"/>
          <w:sz w:val="32"/>
          <w:szCs w:val="32"/>
        </w:rPr>
      </w:pPr>
      <w:r>
        <w:rPr>
          <w:rFonts w:hint="eastAsia" w:ascii="仿宋_GB2312" w:eastAsia="仿宋_GB2312" w:cs="仿宋" w:hAnsiTheme="minorEastAsia"/>
          <w:sz w:val="32"/>
          <w:szCs w:val="32"/>
        </w:rPr>
        <w:t>各区、县及市局文旅广体局作为项目主管单位，虽然不定期对项目实施单位进行监督检查，但没有制定具体的项目监督管理办法或方案，项目监督管理具体安排、管理缺乏依据，不利于对资金的合理安排进行监督。</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（五）项目资金下达较晚。</w:t>
      </w:r>
    </w:p>
    <w:p>
      <w:pPr>
        <w:topLinePunct/>
        <w:spacing w:line="600" w:lineRule="exact"/>
        <w:ind w:firstLine="645"/>
        <w:rPr>
          <w:rFonts w:ascii="仿宋_GB2312" w:eastAsia="仿宋_GB2312" w:cs="仿宋" w:hAnsiTheme="minorEastAsia"/>
          <w:sz w:val="32"/>
          <w:szCs w:val="32"/>
        </w:rPr>
      </w:pPr>
      <w:r>
        <w:rPr>
          <w:rFonts w:hint="eastAsia" w:ascii="仿宋_GB2312" w:eastAsia="仿宋_GB2312" w:cs="仿宋" w:hAnsiTheme="minorEastAsia"/>
          <w:sz w:val="32"/>
          <w:szCs w:val="32"/>
        </w:rPr>
        <w:t>根据抽查的益阳市本级和赫山、资阳两区的专项资金拨付情况来看，到账时期都为2019年11月份。一部分设备购置的采购周期较长，尤其是需要通过政府采购走招投标程序的采购或建设工程都有滞后现象。</w:t>
      </w:r>
    </w:p>
    <w:p>
      <w:pPr>
        <w:topLinePunct/>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六、相关建议</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（一）加快项目实施进度。</w:t>
      </w:r>
    </w:p>
    <w:p>
      <w:pPr>
        <w:topLinePunct/>
        <w:spacing w:line="600" w:lineRule="exact"/>
        <w:ind w:firstLine="640" w:firstLineChars="200"/>
        <w:rPr>
          <w:rFonts w:ascii="仿宋_GB2312" w:eastAsia="仿宋_GB2312" w:cs="仿宋" w:hAnsiTheme="minorEastAsia"/>
          <w:sz w:val="32"/>
          <w:szCs w:val="32"/>
        </w:rPr>
      </w:pPr>
      <w:r>
        <w:rPr>
          <w:rFonts w:hint="eastAsia" w:ascii="仿宋_GB2312" w:eastAsia="仿宋_GB2312" w:cs="仿宋" w:hAnsiTheme="minorEastAsia"/>
          <w:sz w:val="32"/>
          <w:szCs w:val="32"/>
        </w:rPr>
        <w:t>在保质保量的前提下严格按照项目计划方案实施项目建设，若项目实施过程中发生变更时，要及时向相关部门申报，并对应调整财政资金建设内容及项目绩效目标。</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（二）加强项目资金管理。</w:t>
      </w:r>
    </w:p>
    <w:p>
      <w:pPr>
        <w:topLinePunct/>
        <w:spacing w:line="600" w:lineRule="exact"/>
        <w:ind w:firstLine="640" w:firstLineChars="200"/>
        <w:rPr>
          <w:rFonts w:ascii="仿宋_GB2312" w:eastAsia="仿宋_GB2312" w:cs="仿宋" w:hAnsiTheme="minorEastAsia"/>
          <w:sz w:val="32"/>
          <w:szCs w:val="32"/>
        </w:rPr>
      </w:pPr>
      <w:r>
        <w:rPr>
          <w:rFonts w:hint="eastAsia" w:ascii="仿宋_GB2312" w:eastAsia="仿宋_GB2312" w:cs="仿宋" w:hAnsiTheme="minorEastAsia"/>
          <w:sz w:val="32"/>
          <w:szCs w:val="32"/>
        </w:rPr>
        <w:t>项目资金使用要严格按照《中央补助地方公共文化服务体系建设专项资金管理暂行办法》的规定执行。严格控制财政资金使用范围，按照相关部门批复的项目资金投资计划及支持建设内容列支。</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（三）强化文化设施管理。</w:t>
      </w:r>
    </w:p>
    <w:p>
      <w:pPr>
        <w:topLinePunct/>
        <w:spacing w:line="600" w:lineRule="exact"/>
        <w:ind w:firstLine="640" w:firstLineChars="200"/>
        <w:rPr>
          <w:rFonts w:ascii="仿宋_GB2312" w:eastAsia="仿宋_GB2312" w:cs="仿宋" w:hAnsiTheme="minorEastAsia"/>
          <w:sz w:val="32"/>
          <w:szCs w:val="32"/>
        </w:rPr>
      </w:pPr>
      <w:r>
        <w:rPr>
          <w:rFonts w:hint="eastAsia" w:ascii="仿宋_GB2312" w:eastAsia="仿宋_GB2312" w:cs="仿宋" w:hAnsiTheme="minorEastAsia"/>
          <w:sz w:val="32"/>
          <w:szCs w:val="32"/>
        </w:rPr>
        <w:t>按实际情况制定农村书屋及文化活动室管理方案，保证农村书屋及文化活动室切实有效的投入使用。制定具体的项目监督管理办法或方案，让项目监督管理管理有据可依，更有效地对资金的合理安排、使用进行监督。</w:t>
      </w:r>
    </w:p>
    <w:p>
      <w:pPr>
        <w:topLinePunct/>
        <w:spacing w:line="600" w:lineRule="exact"/>
        <w:ind w:firstLine="640" w:firstLineChars="200"/>
        <w:rPr>
          <w:rFonts w:ascii="楷体_GB2312" w:eastAsia="楷体_GB2312" w:cs="仿宋" w:hAnsiTheme="minorEastAsia"/>
          <w:color w:val="000000" w:themeColor="text1"/>
          <w:sz w:val="32"/>
          <w:szCs w:val="32"/>
        </w:rPr>
      </w:pPr>
      <w:r>
        <w:rPr>
          <w:rFonts w:hint="eastAsia" w:ascii="楷体_GB2312" w:eastAsia="楷体_GB2312" w:cs="仿宋" w:hAnsiTheme="minorEastAsia"/>
          <w:color w:val="000000" w:themeColor="text1"/>
          <w:sz w:val="32"/>
          <w:szCs w:val="32"/>
        </w:rPr>
        <w:t>（四）加快项目资金拨付。</w:t>
      </w:r>
    </w:p>
    <w:p>
      <w:pPr>
        <w:topLinePunct/>
        <w:spacing w:line="600" w:lineRule="exact"/>
        <w:ind w:firstLine="630"/>
        <w:rPr>
          <w:rFonts w:ascii="仿宋_GB2312" w:eastAsia="仿宋_GB2312" w:cs="仿宋" w:hAnsiTheme="minorEastAsia"/>
          <w:sz w:val="32"/>
          <w:szCs w:val="32"/>
        </w:rPr>
      </w:pPr>
      <w:r>
        <w:rPr>
          <w:rFonts w:hint="eastAsia" w:ascii="仿宋_GB2312" w:eastAsia="仿宋_GB2312" w:cs="仿宋" w:hAnsiTheme="minorEastAsia"/>
          <w:sz w:val="32"/>
          <w:szCs w:val="32"/>
        </w:rPr>
        <w:t>加强与财政部门的协调，根据《中央补助地方公共文化服务体系建设专项资金管理暂行办法》第三十一、三十二条的要求，按照规定程序尽早下达到本级有关单位和市、县级财政部门。</w:t>
      </w:r>
    </w:p>
    <w:p>
      <w:pPr>
        <w:topLinePunct/>
        <w:spacing w:line="600" w:lineRule="exact"/>
        <w:rPr>
          <w:rFonts w:ascii="仿宋_GB2312" w:eastAsia="仿宋_GB2312" w:cs="仿宋" w:hAnsiTheme="minorEastAsia"/>
          <w:sz w:val="32"/>
          <w:szCs w:val="32"/>
        </w:rPr>
      </w:pPr>
    </w:p>
    <w:p>
      <w:pPr>
        <w:topLinePunct/>
        <w:spacing w:line="600" w:lineRule="exact"/>
        <w:ind w:firstLine="640" w:firstLineChars="200"/>
        <w:rPr>
          <w:rFonts w:ascii="仿宋_GB2312" w:eastAsia="仿宋_GB2312" w:cs="Times New Roman" w:hAnsiTheme="minorEastAsia"/>
          <w:sz w:val="32"/>
          <w:szCs w:val="32"/>
        </w:rPr>
        <w:sectPr>
          <w:headerReference r:id="rId3" w:type="default"/>
          <w:footerReference r:id="rId4" w:type="default"/>
          <w:footerReference r:id="rId5" w:type="even"/>
          <w:pgSz w:w="11906" w:h="16838"/>
          <w:pgMar w:top="1814" w:right="1474" w:bottom="1588" w:left="1588" w:header="851" w:footer="850" w:gutter="0"/>
          <w:cols w:space="0" w:num="1"/>
          <w:docGrid w:type="lines" w:linePitch="319" w:charSpace="0"/>
        </w:sectPr>
      </w:pPr>
      <w:r>
        <w:rPr>
          <w:rFonts w:hint="eastAsia" w:ascii="仿宋_GB2312" w:eastAsia="仿宋_GB2312" w:cs="Times New Roman" w:hAnsiTheme="minorEastAsia"/>
          <w:sz w:val="32"/>
          <w:szCs w:val="32"/>
        </w:rPr>
        <w:t>附件：2019年中央补助地方公共文化服务体系建设专项资金绩效评价指标评分表</w:t>
      </w:r>
    </w:p>
    <w:tbl>
      <w:tblPr>
        <w:tblStyle w:val="7"/>
        <w:tblW w:w="5078" w:type="pct"/>
        <w:jc w:val="center"/>
        <w:tblLayout w:type="fixed"/>
        <w:tblCellMar>
          <w:top w:w="0" w:type="dxa"/>
          <w:left w:w="0" w:type="dxa"/>
          <w:bottom w:w="0" w:type="dxa"/>
          <w:right w:w="0" w:type="dxa"/>
        </w:tblCellMar>
      </w:tblPr>
      <w:tblGrid>
        <w:gridCol w:w="668"/>
        <w:gridCol w:w="741"/>
        <w:gridCol w:w="707"/>
        <w:gridCol w:w="4391"/>
        <w:gridCol w:w="855"/>
        <w:gridCol w:w="3791"/>
        <w:gridCol w:w="2187"/>
        <w:gridCol w:w="681"/>
      </w:tblGrid>
      <w:tr>
        <w:tblPrEx>
          <w:tblCellMar>
            <w:top w:w="0" w:type="dxa"/>
            <w:left w:w="0" w:type="dxa"/>
            <w:bottom w:w="0" w:type="dxa"/>
            <w:right w:w="0" w:type="dxa"/>
          </w:tblCellMar>
        </w:tblPrEx>
        <w:trPr>
          <w:trHeight w:val="450" w:hRule="atLeast"/>
          <w:tblHeader/>
          <w:jc w:val="center"/>
        </w:trPr>
        <w:tc>
          <w:tcPr>
            <w:tcW w:w="5000" w:type="pct"/>
            <w:gridSpan w:val="8"/>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方正小标宋简体" w:hAnsi="宋体" w:eastAsia="方正小标宋简体" w:cs="宋体"/>
                <w:b/>
                <w:color w:val="000000"/>
                <w:sz w:val="30"/>
                <w:szCs w:val="30"/>
              </w:rPr>
            </w:pPr>
            <w:r>
              <w:rPr>
                <w:rFonts w:hint="eastAsia" w:ascii="方正小标宋简体" w:hAnsi="宋体" w:eastAsia="方正小标宋简体" w:cs="宋体"/>
                <w:b/>
                <w:color w:val="000000"/>
                <w:kern w:val="0"/>
                <w:sz w:val="30"/>
                <w:szCs w:val="30"/>
              </w:rPr>
              <w:t>2019年中央补助地方公共文化服务体系建设专项资金绩效评价指标评分表</w:t>
            </w:r>
          </w:p>
        </w:tc>
      </w:tr>
      <w:tr>
        <w:tblPrEx>
          <w:tblCellMar>
            <w:top w:w="0" w:type="dxa"/>
            <w:left w:w="0" w:type="dxa"/>
            <w:bottom w:w="0" w:type="dxa"/>
            <w:right w:w="0" w:type="dxa"/>
          </w:tblCellMar>
        </w:tblPrEx>
        <w:trPr>
          <w:trHeight w:val="240" w:hRule="atLeast"/>
          <w:tblHeader/>
          <w:jc w:val="center"/>
        </w:trPr>
        <w:tc>
          <w:tcPr>
            <w:tcW w:w="2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一级指标</w:t>
            </w: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二级指标</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三级指标</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具体指标</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分值</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计分标准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须需提供的资料</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b/>
                <w:color w:val="000000"/>
                <w:sz w:val="28"/>
                <w:szCs w:val="28"/>
              </w:rPr>
            </w:pPr>
            <w:r>
              <w:rPr>
                <w:rFonts w:hint="eastAsia" w:ascii="仿宋_GB2312" w:hAnsi="宋体" w:eastAsia="仿宋_GB2312" w:cs="宋体"/>
                <w:b/>
                <w:color w:val="000000"/>
                <w:kern w:val="0"/>
                <w:sz w:val="28"/>
                <w:szCs w:val="28"/>
              </w:rPr>
              <w:t>得分</w:t>
            </w:r>
          </w:p>
        </w:tc>
      </w:tr>
      <w:tr>
        <w:tblPrEx>
          <w:tblCellMar>
            <w:top w:w="0" w:type="dxa"/>
            <w:left w:w="0" w:type="dxa"/>
            <w:bottom w:w="0" w:type="dxa"/>
            <w:right w:w="0" w:type="dxa"/>
          </w:tblCellMar>
        </w:tblPrEx>
        <w:trPr>
          <w:trHeight w:val="872" w:hRule="atLeast"/>
          <w:jc w:val="center"/>
        </w:trPr>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项目决策（10分）</w:t>
            </w: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项目前期</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开展调研论证</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开展调研论证，制定工作规划。</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2</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制定了工作规划，且内容完整、目标明确、有较强的操作性的，计0—2分。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项目工作规划，项目建议书或可行性研究报告。</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2</w:t>
            </w:r>
          </w:p>
        </w:tc>
      </w:tr>
      <w:tr>
        <w:tblPrEx>
          <w:tblCellMar>
            <w:top w:w="0" w:type="dxa"/>
            <w:left w:w="0" w:type="dxa"/>
            <w:bottom w:w="0" w:type="dxa"/>
            <w:right w:w="0" w:type="dxa"/>
          </w:tblCellMar>
        </w:tblPrEx>
        <w:trPr>
          <w:trHeight w:val="752"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28"/>
                <w:szCs w:val="28"/>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项目目标</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目标内容</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设立了项目绩效目标；目标明确及目标细化；目标量化。</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6</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①设立了项目绩效目标计0—2分，②目标明确计0—2分，目标细化计0—2分，③目标量化计0—2分。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绩效目标及相关资料。</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6</w:t>
            </w:r>
          </w:p>
        </w:tc>
      </w:tr>
      <w:tr>
        <w:tblPrEx>
          <w:tblCellMar>
            <w:top w:w="0" w:type="dxa"/>
            <w:left w:w="0" w:type="dxa"/>
            <w:bottom w:w="0" w:type="dxa"/>
            <w:right w:w="0" w:type="dxa"/>
          </w:tblCellMar>
        </w:tblPrEx>
        <w:trPr>
          <w:trHeight w:val="78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28"/>
                <w:szCs w:val="28"/>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决策程序</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决策依据</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项目设立依据。</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2</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项目符合相关法律法规、政策文件、政府规划、部门计划或实际需要的，计0—2分。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相关法律法规、政策文件、政府规划、部门计划等。</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28"/>
                <w:szCs w:val="28"/>
              </w:rPr>
            </w:pPr>
            <w:r>
              <w:rPr>
                <w:rFonts w:hint="eastAsia" w:ascii="仿宋_GB2312" w:hAnsi="宋体" w:eastAsia="仿宋_GB2312" w:cs="宋体"/>
                <w:color w:val="000000"/>
                <w:kern w:val="0"/>
                <w:sz w:val="28"/>
                <w:szCs w:val="28"/>
              </w:rPr>
              <w:t>2</w:t>
            </w:r>
          </w:p>
        </w:tc>
      </w:tr>
      <w:tr>
        <w:tblPrEx>
          <w:tblCellMar>
            <w:top w:w="0" w:type="dxa"/>
            <w:left w:w="0" w:type="dxa"/>
            <w:bottom w:w="0" w:type="dxa"/>
            <w:right w:w="0" w:type="dxa"/>
          </w:tblCellMar>
        </w:tblPrEx>
        <w:trPr>
          <w:trHeight w:val="480" w:hRule="atLeast"/>
          <w:jc w:val="center"/>
        </w:trPr>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项目管理（42分）</w:t>
            </w:r>
          </w:p>
        </w:tc>
        <w:tc>
          <w:tcPr>
            <w:tcW w:w="26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财务管理</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资金到位率</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实际到位/计划到位*100%</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资金实际到位率达100%的，计4分，每降低5%，扣0.5分，扣完为止。</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账本、凭证等资料。</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r>
      <w:tr>
        <w:tblPrEx>
          <w:tblCellMar>
            <w:top w:w="0" w:type="dxa"/>
            <w:left w:w="0" w:type="dxa"/>
            <w:bottom w:w="0" w:type="dxa"/>
            <w:right w:w="0" w:type="dxa"/>
          </w:tblCellMar>
        </w:tblPrEx>
        <w:trPr>
          <w:trHeight w:val="85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到位时效</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资金是否及时到位，是否影响项目进度。</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① 资金及时到位的，计4分；②资金未及时到位，但未影响项目进度 扣1分；③资金未及时到位，并影响项目进度的，扣2分。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查看账本、凭证等资料、咨询项目单位。</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2</w:t>
            </w:r>
          </w:p>
        </w:tc>
      </w:tr>
      <w:tr>
        <w:tblPrEx>
          <w:tblCellMar>
            <w:top w:w="0" w:type="dxa"/>
            <w:left w:w="0" w:type="dxa"/>
            <w:bottom w:w="0" w:type="dxa"/>
            <w:right w:w="0" w:type="dxa"/>
          </w:tblCellMar>
        </w:tblPrEx>
        <w:trPr>
          <w:trHeight w:val="48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资金使用</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专款专用，严禁挤占、截留、挪用专项资金，资金使用合规。</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10</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资金使用合规，无挤占、截留、挪用的，计0—10分。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查看账务等相关资料。</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10</w:t>
            </w:r>
          </w:p>
        </w:tc>
      </w:tr>
      <w:tr>
        <w:tblPrEx>
          <w:tblCellMar>
            <w:top w:w="0" w:type="dxa"/>
            <w:left w:w="0" w:type="dxa"/>
            <w:bottom w:w="0" w:type="dxa"/>
            <w:right w:w="0" w:type="dxa"/>
          </w:tblCellMar>
        </w:tblPrEx>
        <w:trPr>
          <w:trHeight w:val="678"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财务管理</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专项资金单独列支，财务核算、资产管理规范，资料齐全。</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10</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①支出单独列支的，计2分；②票据合法合规、手续完善、财务核算规范的，计0—6分；</w:t>
            </w:r>
          </w:p>
          <w:p>
            <w:pPr>
              <w:widowControl/>
              <w:spacing w:line="300" w:lineRule="exact"/>
              <w:jc w:val="center"/>
              <w:textAlignment w:val="center"/>
              <w:rPr>
                <w:rFonts w:ascii="仿宋_GB2312" w:hAnsi="宋体" w:eastAsia="仿宋_GB2312" w:cs="宋体"/>
                <w:color w:val="000000"/>
                <w:kern w:val="0"/>
                <w:sz w:val="30"/>
                <w:szCs w:val="30"/>
              </w:rPr>
            </w:pPr>
          </w:p>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③资料齐全的，计0—2分。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查看账务等相关资料。</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10</w:t>
            </w:r>
          </w:p>
        </w:tc>
      </w:tr>
      <w:tr>
        <w:tblPrEx>
          <w:tblCellMar>
            <w:top w:w="0" w:type="dxa"/>
            <w:left w:w="0" w:type="dxa"/>
            <w:bottom w:w="0" w:type="dxa"/>
            <w:right w:w="0" w:type="dxa"/>
          </w:tblCellMar>
        </w:tblPrEx>
        <w:trPr>
          <w:trHeight w:val="675"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组织实施</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组织机构</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机构健全、分工明确.</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① 组织机构健全的计0—2分；②分工明确的计0—2分。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组织机构文件、职责分工。</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r>
      <w:tr>
        <w:tblPrEx>
          <w:tblCellMar>
            <w:top w:w="0" w:type="dxa"/>
            <w:left w:w="0" w:type="dxa"/>
            <w:bottom w:w="0" w:type="dxa"/>
            <w:right w:w="0" w:type="dxa"/>
          </w:tblCellMar>
        </w:tblPrEx>
        <w:trPr>
          <w:trHeight w:val="815"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制度制定</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制定了专项资金管理方案（含项目实施、资金管理）</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① 制定了专项资金管理方案的，计0—2分；②制度内容完整、程序合规、操作性强的，计0—2分。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项目建设实施方案、专项资金管理制度等。</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2</w:t>
            </w:r>
          </w:p>
        </w:tc>
      </w:tr>
      <w:tr>
        <w:tblPrEx>
          <w:tblCellMar>
            <w:top w:w="0" w:type="dxa"/>
            <w:left w:w="0" w:type="dxa"/>
            <w:bottom w:w="0" w:type="dxa"/>
            <w:right w:w="0" w:type="dxa"/>
          </w:tblCellMar>
        </w:tblPrEx>
        <w:trPr>
          <w:trHeight w:val="1205"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制度执行有效性</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项目实施是否符合相关业务管理规定，用以反映和考核业务管理制度的有效执行情况。</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6</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①项目遵守相关法律法规和业务管理规定，计0-2分；</w:t>
            </w:r>
            <w:r>
              <w:rPr>
                <w:rFonts w:hint="eastAsia" w:ascii="仿宋_GB2312" w:hAnsi="宋体" w:eastAsia="仿宋_GB2312" w:cs="宋体"/>
                <w:color w:val="000000"/>
                <w:kern w:val="0"/>
                <w:sz w:val="30"/>
                <w:szCs w:val="30"/>
              </w:rPr>
              <w:br w:type="textWrapping"/>
            </w:r>
            <w:r>
              <w:rPr>
                <w:rFonts w:hint="eastAsia" w:ascii="仿宋_GB2312" w:hAnsi="宋体" w:eastAsia="仿宋_GB2312" w:cs="宋体"/>
                <w:color w:val="000000"/>
                <w:kern w:val="0"/>
                <w:sz w:val="30"/>
                <w:szCs w:val="30"/>
              </w:rPr>
              <w:t>②项目调整及支出调整手续完备，计0-2分；</w:t>
            </w:r>
            <w:r>
              <w:rPr>
                <w:rFonts w:hint="eastAsia" w:ascii="仿宋_GB2312" w:hAnsi="宋体" w:eastAsia="仿宋_GB2312" w:cs="宋体"/>
                <w:color w:val="000000"/>
                <w:kern w:val="0"/>
                <w:sz w:val="30"/>
                <w:szCs w:val="30"/>
              </w:rPr>
              <w:br w:type="textWrapping"/>
            </w:r>
            <w:r>
              <w:rPr>
                <w:rFonts w:hint="eastAsia" w:ascii="仿宋_GB2312" w:hAnsi="宋体" w:eastAsia="仿宋_GB2312" w:cs="宋体"/>
                <w:color w:val="000000"/>
                <w:kern w:val="0"/>
                <w:sz w:val="30"/>
                <w:szCs w:val="30"/>
              </w:rPr>
              <w:t>③项目合同书、验收报告、技术鉴定等资料齐全并及时归档，计2分；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项目相关资料</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r>
      <w:tr>
        <w:tblPrEx>
          <w:tblCellMar>
            <w:top w:w="0" w:type="dxa"/>
            <w:left w:w="0" w:type="dxa"/>
            <w:bottom w:w="0" w:type="dxa"/>
            <w:right w:w="0" w:type="dxa"/>
          </w:tblCellMar>
        </w:tblPrEx>
        <w:trPr>
          <w:trHeight w:val="820" w:hRule="atLeast"/>
          <w:jc w:val="center"/>
        </w:trPr>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项目绩效（48分）</w:t>
            </w: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产出数量</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实际完成率</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实际完成率=（实际产出数/计划产出数）×100%。</w:t>
            </w:r>
            <w:r>
              <w:rPr>
                <w:rFonts w:hint="eastAsia" w:ascii="仿宋_GB2312" w:hAnsi="宋体" w:eastAsia="仿宋_GB2312" w:cs="宋体"/>
                <w:color w:val="000000"/>
                <w:kern w:val="0"/>
                <w:sz w:val="30"/>
                <w:szCs w:val="30"/>
              </w:rPr>
              <w:br w:type="textWrapping"/>
            </w:r>
            <w:r>
              <w:rPr>
                <w:rFonts w:hint="eastAsia" w:ascii="仿宋_GB2312" w:hAnsi="宋体" w:eastAsia="仿宋_GB2312" w:cs="宋体"/>
                <w:color w:val="000000"/>
                <w:kern w:val="0"/>
                <w:sz w:val="30"/>
                <w:szCs w:val="30"/>
              </w:rPr>
              <w:t>实际产出数：一定时期（本年度或项目期）内项目实际产出的产品或提供的服务数量。</w:t>
            </w:r>
            <w:r>
              <w:rPr>
                <w:rFonts w:hint="eastAsia" w:ascii="仿宋_GB2312" w:hAnsi="宋体" w:eastAsia="仿宋_GB2312" w:cs="宋体"/>
                <w:color w:val="000000"/>
                <w:kern w:val="0"/>
                <w:sz w:val="30"/>
                <w:szCs w:val="30"/>
              </w:rPr>
              <w:br w:type="textWrapping"/>
            </w:r>
            <w:r>
              <w:rPr>
                <w:rFonts w:hint="eastAsia" w:ascii="仿宋_GB2312" w:hAnsi="宋体" w:eastAsia="仿宋_GB2312" w:cs="宋体"/>
                <w:color w:val="000000"/>
                <w:kern w:val="0"/>
                <w:sz w:val="30"/>
                <w:szCs w:val="30"/>
              </w:rPr>
              <w:t>计划产出：项目绩效目标确定的在一定时期（本年度或项目期）内计划产出的产品或提供的服务数量</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8</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达到100%的，计8分，每下降5%扣1分，扣完为止。</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查阅相关记录</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8</w:t>
            </w:r>
          </w:p>
        </w:tc>
      </w:tr>
      <w:tr>
        <w:tblPrEx>
          <w:tblCellMar>
            <w:top w:w="0" w:type="dxa"/>
            <w:left w:w="0" w:type="dxa"/>
            <w:bottom w:w="0" w:type="dxa"/>
            <w:right w:w="0" w:type="dxa"/>
          </w:tblCellMar>
        </w:tblPrEx>
        <w:trPr>
          <w:trHeight w:val="24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产出质量</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质量达标率</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项目建设内容的质量是否合格</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10</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达到100%的，计10分，每下降5%扣1分，扣完为止。</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通过实际调查决定</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8</w:t>
            </w:r>
          </w:p>
        </w:tc>
      </w:tr>
      <w:tr>
        <w:tblPrEx>
          <w:tblCellMar>
            <w:top w:w="0" w:type="dxa"/>
            <w:left w:w="0" w:type="dxa"/>
            <w:bottom w:w="0" w:type="dxa"/>
            <w:right w:w="0" w:type="dxa"/>
          </w:tblCellMar>
        </w:tblPrEx>
        <w:trPr>
          <w:trHeight w:val="48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项目完成时效性</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项目是否按计划及时完成</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按时完成计5分，完成时间与计划时间相比每下降5%扣1分，扣完为止。</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查看记录，实地调查。</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r>
      <w:tr>
        <w:tblPrEx>
          <w:tblCellMar>
            <w:top w:w="0" w:type="dxa"/>
            <w:left w:w="0" w:type="dxa"/>
            <w:bottom w:w="0" w:type="dxa"/>
            <w:right w:w="0" w:type="dxa"/>
          </w:tblCellMar>
        </w:tblPrEx>
        <w:trPr>
          <w:trHeight w:val="48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成本指标</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项目实际成本与工作内容的匹配程度及产出成本控制措施的有效性</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实际成本与工作内容基本匹配计5分，匹配程度每下降5%扣1分，扣完为止。</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查看招投标资料及市场询价开展实际调查</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r>
      <w:tr>
        <w:tblPrEx>
          <w:tblCellMar>
            <w:top w:w="0" w:type="dxa"/>
            <w:left w:w="0" w:type="dxa"/>
            <w:bottom w:w="0" w:type="dxa"/>
            <w:right w:w="0" w:type="dxa"/>
          </w:tblCellMar>
        </w:tblPrEx>
        <w:trPr>
          <w:trHeight w:val="48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效益</w:t>
            </w: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社会效益</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项目实施对社会发展所带来的直接或间接影响情况。</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根据实际情况及调查问卷等酌情扣分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开展问卷调查</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r>
      <w:tr>
        <w:tblPrEx>
          <w:tblCellMar>
            <w:top w:w="0" w:type="dxa"/>
            <w:left w:w="0" w:type="dxa"/>
            <w:bottom w:w="0" w:type="dxa"/>
            <w:right w:w="0" w:type="dxa"/>
          </w:tblCellMar>
        </w:tblPrEx>
        <w:trPr>
          <w:trHeight w:val="48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经济效益</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项目实施对经济发展所带来的直接或间接影响情况。</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根据实际情况及调查问卷等酌情扣分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开展问卷调查</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r>
      <w:tr>
        <w:tblPrEx>
          <w:tblCellMar>
            <w:top w:w="0" w:type="dxa"/>
            <w:left w:w="0" w:type="dxa"/>
            <w:bottom w:w="0" w:type="dxa"/>
            <w:right w:w="0" w:type="dxa"/>
          </w:tblCellMar>
        </w:tblPrEx>
        <w:trPr>
          <w:trHeight w:val="24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可持续影响</w:t>
            </w: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项目后续运行及成效发挥的可持续影响情况。</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根据实际情况及调查问卷等酌情扣分</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开展问卷调查</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r>
      <w:tr>
        <w:tblPrEx>
          <w:tblCellMar>
            <w:top w:w="0" w:type="dxa"/>
            <w:left w:w="0" w:type="dxa"/>
            <w:bottom w:w="0" w:type="dxa"/>
            <w:right w:w="0" w:type="dxa"/>
          </w:tblCellMar>
        </w:tblPrEx>
        <w:trPr>
          <w:trHeight w:val="480" w:hRule="atLeast"/>
          <w:jc w:val="center"/>
        </w:trPr>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群众满意度</w:t>
            </w:r>
          </w:p>
        </w:tc>
        <w:tc>
          <w:tcPr>
            <w:tcW w:w="15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社会公众或服务对象对项目实施效果的满意程度。</w:t>
            </w: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5</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达85%以上得满分，每下降5%扣1分，扣完为止。</w:t>
            </w: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开展问卷调查</w:t>
            </w: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4</w:t>
            </w:r>
          </w:p>
        </w:tc>
      </w:tr>
      <w:tr>
        <w:tblPrEx>
          <w:tblCellMar>
            <w:top w:w="0" w:type="dxa"/>
            <w:left w:w="0" w:type="dxa"/>
            <w:bottom w:w="0" w:type="dxa"/>
            <w:right w:w="0" w:type="dxa"/>
          </w:tblCellMar>
        </w:tblPrEx>
        <w:trPr>
          <w:trHeight w:val="500" w:hRule="atLeast"/>
          <w:jc w:val="center"/>
        </w:trPr>
        <w:tc>
          <w:tcPr>
            <w:tcW w:w="2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总分</w:t>
            </w: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15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100</w:t>
            </w:r>
          </w:p>
        </w:tc>
        <w:tc>
          <w:tcPr>
            <w:tcW w:w="1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00" w:lineRule="exact"/>
              <w:jc w:val="center"/>
              <w:rPr>
                <w:rFonts w:ascii="仿宋_GB2312" w:hAnsi="宋体" w:eastAsia="仿宋_GB2312" w:cs="宋体"/>
                <w:color w:val="000000"/>
                <w:sz w:val="30"/>
                <w:szCs w:val="30"/>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ascii="仿宋_GB2312" w:hAnsi="宋体" w:eastAsia="仿宋_GB2312" w:cs="宋体"/>
                <w:color w:val="000000"/>
                <w:sz w:val="30"/>
                <w:szCs w:val="30"/>
              </w:rPr>
            </w:pPr>
            <w:r>
              <w:rPr>
                <w:rFonts w:hint="eastAsia" w:ascii="仿宋_GB2312" w:hAnsi="宋体" w:eastAsia="仿宋_GB2312" w:cs="宋体"/>
                <w:color w:val="000000"/>
                <w:kern w:val="0"/>
                <w:sz w:val="30"/>
                <w:szCs w:val="30"/>
              </w:rPr>
              <w:t>88</w:t>
            </w:r>
          </w:p>
        </w:tc>
      </w:tr>
    </w:tbl>
    <w:p>
      <w:pPr>
        <w:pStyle w:val="20"/>
        <w:spacing w:line="300" w:lineRule="exact"/>
        <w:ind w:firstLine="0" w:firstLineChars="0"/>
        <w:rPr>
          <w:rFonts w:ascii="仿宋_GB2312" w:eastAsia="仿宋_GB2312" w:cs="Times New Roman" w:hAnsiTheme="minorEastAsia"/>
          <w:spacing w:val="16"/>
          <w:sz w:val="30"/>
          <w:szCs w:val="30"/>
        </w:rPr>
      </w:pPr>
    </w:p>
    <w:sectPr>
      <w:pgSz w:w="16838" w:h="11906" w:orient="landscape"/>
      <w:pgMar w:top="1814" w:right="1474" w:bottom="1588" w:left="1588"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2010601030101010101"/>
    <w:charset w:val="86"/>
    <w:family w:val="auto"/>
    <w:pitch w:val="default"/>
    <w:sig w:usb0="00000000" w:usb1="00000000" w:usb2="00000010" w:usb3="00000000" w:csb0="00040000" w:csb1="00000000"/>
  </w:font>
  <w:font w:name="方正粗黑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69733"/>
      <w:docPartObj>
        <w:docPartGallery w:val="AutoText"/>
      </w:docPartObj>
    </w:sdtPr>
    <w:sdtContent>
      <w:p>
        <w:pPr>
          <w:pStyle w:val="4"/>
          <w:jc w:val="right"/>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ascii="宋体" w:hAnsi="宋体"/>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69740"/>
      <w:docPartObj>
        <w:docPartGallery w:val="AutoText"/>
      </w:docPartObj>
    </w:sdtPr>
    <w:sdtContent>
      <w:p>
        <w:pPr>
          <w:pStyle w:val="4"/>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sz w:val="28"/>
            <w:szCs w:val="28"/>
          </w:rPr>
          <w:t>—</w:t>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evenAndOddHeaders w:val="1"/>
  <w:drawingGridHorizontalSpacing w:val="105"/>
  <w:drawingGridVerticalSpacing w:val="319"/>
  <w:displayHorizont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D6DAF"/>
    <w:rsid w:val="00002DDC"/>
    <w:rsid w:val="00020BEE"/>
    <w:rsid w:val="00022743"/>
    <w:rsid w:val="00026036"/>
    <w:rsid w:val="000304A4"/>
    <w:rsid w:val="0003717A"/>
    <w:rsid w:val="000469BA"/>
    <w:rsid w:val="000502EB"/>
    <w:rsid w:val="00060614"/>
    <w:rsid w:val="0006138F"/>
    <w:rsid w:val="00062D31"/>
    <w:rsid w:val="0007200E"/>
    <w:rsid w:val="000966B7"/>
    <w:rsid w:val="000B3910"/>
    <w:rsid w:val="000D2F40"/>
    <w:rsid w:val="000D7207"/>
    <w:rsid w:val="000F30EB"/>
    <w:rsid w:val="000F3116"/>
    <w:rsid w:val="000F38E8"/>
    <w:rsid w:val="000F68D6"/>
    <w:rsid w:val="00124B92"/>
    <w:rsid w:val="0013186D"/>
    <w:rsid w:val="00141B57"/>
    <w:rsid w:val="00152DCC"/>
    <w:rsid w:val="00152E56"/>
    <w:rsid w:val="00157746"/>
    <w:rsid w:val="001702A0"/>
    <w:rsid w:val="00172F0F"/>
    <w:rsid w:val="00174BD2"/>
    <w:rsid w:val="001863A8"/>
    <w:rsid w:val="001A2D3D"/>
    <w:rsid w:val="001C2A7B"/>
    <w:rsid w:val="001D51FB"/>
    <w:rsid w:val="001E4835"/>
    <w:rsid w:val="001E6A5F"/>
    <w:rsid w:val="001F630B"/>
    <w:rsid w:val="001F7BF2"/>
    <w:rsid w:val="00202EED"/>
    <w:rsid w:val="00205034"/>
    <w:rsid w:val="00212350"/>
    <w:rsid w:val="00214BA7"/>
    <w:rsid w:val="0022127B"/>
    <w:rsid w:val="0022330B"/>
    <w:rsid w:val="00235DC1"/>
    <w:rsid w:val="0024254A"/>
    <w:rsid w:val="002502C6"/>
    <w:rsid w:val="00250D10"/>
    <w:rsid w:val="00267735"/>
    <w:rsid w:val="00280E7D"/>
    <w:rsid w:val="0028486C"/>
    <w:rsid w:val="002A53E2"/>
    <w:rsid w:val="002B2312"/>
    <w:rsid w:val="002C19FB"/>
    <w:rsid w:val="002D1F54"/>
    <w:rsid w:val="002D4F22"/>
    <w:rsid w:val="002D5A98"/>
    <w:rsid w:val="002D6020"/>
    <w:rsid w:val="002D6DAF"/>
    <w:rsid w:val="002D70EF"/>
    <w:rsid w:val="002E12A4"/>
    <w:rsid w:val="002E3AE0"/>
    <w:rsid w:val="002F44B7"/>
    <w:rsid w:val="00303257"/>
    <w:rsid w:val="00314F2B"/>
    <w:rsid w:val="0034177C"/>
    <w:rsid w:val="00341B08"/>
    <w:rsid w:val="003427D9"/>
    <w:rsid w:val="00343752"/>
    <w:rsid w:val="00366230"/>
    <w:rsid w:val="00367CE7"/>
    <w:rsid w:val="00386A88"/>
    <w:rsid w:val="003A0FF9"/>
    <w:rsid w:val="003A29F7"/>
    <w:rsid w:val="003B5436"/>
    <w:rsid w:val="003D5C58"/>
    <w:rsid w:val="003D7CA0"/>
    <w:rsid w:val="003E17B7"/>
    <w:rsid w:val="003F43F5"/>
    <w:rsid w:val="00402550"/>
    <w:rsid w:val="004126A3"/>
    <w:rsid w:val="0041749E"/>
    <w:rsid w:val="00417E78"/>
    <w:rsid w:val="004228FF"/>
    <w:rsid w:val="004239E6"/>
    <w:rsid w:val="00427CC5"/>
    <w:rsid w:val="00440F39"/>
    <w:rsid w:val="004611C5"/>
    <w:rsid w:val="00461D0F"/>
    <w:rsid w:val="00473772"/>
    <w:rsid w:val="00477770"/>
    <w:rsid w:val="00477B40"/>
    <w:rsid w:val="0048035C"/>
    <w:rsid w:val="004948D0"/>
    <w:rsid w:val="004A51FC"/>
    <w:rsid w:val="004B0D96"/>
    <w:rsid w:val="004B741B"/>
    <w:rsid w:val="004D0C89"/>
    <w:rsid w:val="004E53FA"/>
    <w:rsid w:val="004F5212"/>
    <w:rsid w:val="00502976"/>
    <w:rsid w:val="005059A4"/>
    <w:rsid w:val="00527AE2"/>
    <w:rsid w:val="00531407"/>
    <w:rsid w:val="00544B67"/>
    <w:rsid w:val="005467F0"/>
    <w:rsid w:val="00557F90"/>
    <w:rsid w:val="00567DA2"/>
    <w:rsid w:val="005A026D"/>
    <w:rsid w:val="005B3509"/>
    <w:rsid w:val="005B430E"/>
    <w:rsid w:val="005B51E3"/>
    <w:rsid w:val="005B6A07"/>
    <w:rsid w:val="005B7DBE"/>
    <w:rsid w:val="005C0F91"/>
    <w:rsid w:val="005C44D4"/>
    <w:rsid w:val="005C688D"/>
    <w:rsid w:val="005E42BA"/>
    <w:rsid w:val="005E5A8C"/>
    <w:rsid w:val="005E6EAC"/>
    <w:rsid w:val="005E714E"/>
    <w:rsid w:val="005F7B7F"/>
    <w:rsid w:val="006061D0"/>
    <w:rsid w:val="006069B1"/>
    <w:rsid w:val="00616DF2"/>
    <w:rsid w:val="00620996"/>
    <w:rsid w:val="0062332E"/>
    <w:rsid w:val="006255AD"/>
    <w:rsid w:val="0062726F"/>
    <w:rsid w:val="00627DDE"/>
    <w:rsid w:val="00636946"/>
    <w:rsid w:val="0064219E"/>
    <w:rsid w:val="00643046"/>
    <w:rsid w:val="006816A6"/>
    <w:rsid w:val="006C22EE"/>
    <w:rsid w:val="006D0BC2"/>
    <w:rsid w:val="006D684D"/>
    <w:rsid w:val="006E09DD"/>
    <w:rsid w:val="006E74B3"/>
    <w:rsid w:val="006F0646"/>
    <w:rsid w:val="006F2EAB"/>
    <w:rsid w:val="006F67C8"/>
    <w:rsid w:val="006F72DD"/>
    <w:rsid w:val="007071CE"/>
    <w:rsid w:val="00724F49"/>
    <w:rsid w:val="00743CF2"/>
    <w:rsid w:val="0075765A"/>
    <w:rsid w:val="007600FD"/>
    <w:rsid w:val="00762DFA"/>
    <w:rsid w:val="00766A67"/>
    <w:rsid w:val="00776A48"/>
    <w:rsid w:val="007859BE"/>
    <w:rsid w:val="00793365"/>
    <w:rsid w:val="0079568A"/>
    <w:rsid w:val="007B1D65"/>
    <w:rsid w:val="007B5105"/>
    <w:rsid w:val="007B5C65"/>
    <w:rsid w:val="007C0FB6"/>
    <w:rsid w:val="007C1B98"/>
    <w:rsid w:val="007C3EA8"/>
    <w:rsid w:val="007F0601"/>
    <w:rsid w:val="007F3A3E"/>
    <w:rsid w:val="00803D8B"/>
    <w:rsid w:val="00805D9B"/>
    <w:rsid w:val="008340BC"/>
    <w:rsid w:val="0083709D"/>
    <w:rsid w:val="008541DF"/>
    <w:rsid w:val="00856A83"/>
    <w:rsid w:val="0086358C"/>
    <w:rsid w:val="0086609B"/>
    <w:rsid w:val="00881E72"/>
    <w:rsid w:val="008833CF"/>
    <w:rsid w:val="00893997"/>
    <w:rsid w:val="00895B96"/>
    <w:rsid w:val="008A1C54"/>
    <w:rsid w:val="008B0789"/>
    <w:rsid w:val="008B6C8E"/>
    <w:rsid w:val="008C0524"/>
    <w:rsid w:val="008C37A2"/>
    <w:rsid w:val="008C474E"/>
    <w:rsid w:val="008E0434"/>
    <w:rsid w:val="008F7C8A"/>
    <w:rsid w:val="009166FD"/>
    <w:rsid w:val="009440E0"/>
    <w:rsid w:val="009635D2"/>
    <w:rsid w:val="009655DC"/>
    <w:rsid w:val="00980221"/>
    <w:rsid w:val="00980BE5"/>
    <w:rsid w:val="009A4859"/>
    <w:rsid w:val="009A7F79"/>
    <w:rsid w:val="009B26B4"/>
    <w:rsid w:val="009C2868"/>
    <w:rsid w:val="009C6028"/>
    <w:rsid w:val="009E0E67"/>
    <w:rsid w:val="009E5C06"/>
    <w:rsid w:val="009F2BEF"/>
    <w:rsid w:val="00A00617"/>
    <w:rsid w:val="00A20D93"/>
    <w:rsid w:val="00A221D2"/>
    <w:rsid w:val="00A365C0"/>
    <w:rsid w:val="00A54407"/>
    <w:rsid w:val="00A64969"/>
    <w:rsid w:val="00A724CF"/>
    <w:rsid w:val="00A75D69"/>
    <w:rsid w:val="00A854F7"/>
    <w:rsid w:val="00A874D3"/>
    <w:rsid w:val="00A939F9"/>
    <w:rsid w:val="00A9559A"/>
    <w:rsid w:val="00AA024B"/>
    <w:rsid w:val="00AD4A25"/>
    <w:rsid w:val="00AD6D0E"/>
    <w:rsid w:val="00AE036F"/>
    <w:rsid w:val="00AF7C13"/>
    <w:rsid w:val="00B00E97"/>
    <w:rsid w:val="00B04527"/>
    <w:rsid w:val="00B05A19"/>
    <w:rsid w:val="00B133DB"/>
    <w:rsid w:val="00B13E90"/>
    <w:rsid w:val="00B202F7"/>
    <w:rsid w:val="00B213A0"/>
    <w:rsid w:val="00B23D9A"/>
    <w:rsid w:val="00B378A5"/>
    <w:rsid w:val="00B4311A"/>
    <w:rsid w:val="00B44601"/>
    <w:rsid w:val="00B446C7"/>
    <w:rsid w:val="00B6492B"/>
    <w:rsid w:val="00B6556A"/>
    <w:rsid w:val="00B65B00"/>
    <w:rsid w:val="00B754A5"/>
    <w:rsid w:val="00BA60EA"/>
    <w:rsid w:val="00BB5426"/>
    <w:rsid w:val="00BB7501"/>
    <w:rsid w:val="00BB7575"/>
    <w:rsid w:val="00BF1A89"/>
    <w:rsid w:val="00BF4678"/>
    <w:rsid w:val="00C133FA"/>
    <w:rsid w:val="00C14E17"/>
    <w:rsid w:val="00C22B56"/>
    <w:rsid w:val="00C31F81"/>
    <w:rsid w:val="00C5135B"/>
    <w:rsid w:val="00C61850"/>
    <w:rsid w:val="00C646C1"/>
    <w:rsid w:val="00C90A06"/>
    <w:rsid w:val="00C91585"/>
    <w:rsid w:val="00C9404D"/>
    <w:rsid w:val="00C970F9"/>
    <w:rsid w:val="00CD26C2"/>
    <w:rsid w:val="00CE6B25"/>
    <w:rsid w:val="00D26DCD"/>
    <w:rsid w:val="00D35723"/>
    <w:rsid w:val="00D42020"/>
    <w:rsid w:val="00D50A15"/>
    <w:rsid w:val="00D54F3E"/>
    <w:rsid w:val="00D562C9"/>
    <w:rsid w:val="00D67F8A"/>
    <w:rsid w:val="00D75BA6"/>
    <w:rsid w:val="00D83E8D"/>
    <w:rsid w:val="00D8788B"/>
    <w:rsid w:val="00DA10F6"/>
    <w:rsid w:val="00DA606A"/>
    <w:rsid w:val="00DB0EFE"/>
    <w:rsid w:val="00DD174B"/>
    <w:rsid w:val="00DD2E50"/>
    <w:rsid w:val="00DE7244"/>
    <w:rsid w:val="00E055AF"/>
    <w:rsid w:val="00E25312"/>
    <w:rsid w:val="00E274F9"/>
    <w:rsid w:val="00E30629"/>
    <w:rsid w:val="00E32E22"/>
    <w:rsid w:val="00E45009"/>
    <w:rsid w:val="00E54143"/>
    <w:rsid w:val="00E556D0"/>
    <w:rsid w:val="00E605A8"/>
    <w:rsid w:val="00E66B7C"/>
    <w:rsid w:val="00E6723C"/>
    <w:rsid w:val="00E733BC"/>
    <w:rsid w:val="00E8121F"/>
    <w:rsid w:val="00E83CB8"/>
    <w:rsid w:val="00EA2D16"/>
    <w:rsid w:val="00EC1D1B"/>
    <w:rsid w:val="00ED3D57"/>
    <w:rsid w:val="00EE27DC"/>
    <w:rsid w:val="00EF7705"/>
    <w:rsid w:val="00F21819"/>
    <w:rsid w:val="00F2562A"/>
    <w:rsid w:val="00F3435D"/>
    <w:rsid w:val="00F37BE5"/>
    <w:rsid w:val="00F43D98"/>
    <w:rsid w:val="00F45019"/>
    <w:rsid w:val="00F46531"/>
    <w:rsid w:val="00F474E4"/>
    <w:rsid w:val="00F54583"/>
    <w:rsid w:val="00F719F5"/>
    <w:rsid w:val="00F8187A"/>
    <w:rsid w:val="00F8370F"/>
    <w:rsid w:val="00F838C4"/>
    <w:rsid w:val="00F91E2D"/>
    <w:rsid w:val="00F9788A"/>
    <w:rsid w:val="00FB2F27"/>
    <w:rsid w:val="00FD27CC"/>
    <w:rsid w:val="00FD49B9"/>
    <w:rsid w:val="00FD4ACE"/>
    <w:rsid w:val="08F34217"/>
    <w:rsid w:val="0F4B0877"/>
    <w:rsid w:val="10350FD2"/>
    <w:rsid w:val="12D8261E"/>
    <w:rsid w:val="16383C44"/>
    <w:rsid w:val="1BC12F7D"/>
    <w:rsid w:val="1D176658"/>
    <w:rsid w:val="1F4E726C"/>
    <w:rsid w:val="361249D9"/>
    <w:rsid w:val="3EE01594"/>
    <w:rsid w:val="3FE647F5"/>
    <w:rsid w:val="41C64172"/>
    <w:rsid w:val="45F462B2"/>
    <w:rsid w:val="465D16AD"/>
    <w:rsid w:val="47843923"/>
    <w:rsid w:val="494A239B"/>
    <w:rsid w:val="4BAD081B"/>
    <w:rsid w:val="4C5240D6"/>
    <w:rsid w:val="4CAA4CF1"/>
    <w:rsid w:val="550734D4"/>
    <w:rsid w:val="57335C7D"/>
    <w:rsid w:val="57B3191D"/>
    <w:rsid w:val="588F7F5B"/>
    <w:rsid w:val="5A311DB8"/>
    <w:rsid w:val="5DE6229A"/>
    <w:rsid w:val="60A044D6"/>
    <w:rsid w:val="61B95421"/>
    <w:rsid w:val="64577C7F"/>
    <w:rsid w:val="6A2A7555"/>
    <w:rsid w:val="6E4865DB"/>
    <w:rsid w:val="6ECC4288"/>
    <w:rsid w:val="740B2C95"/>
    <w:rsid w:val="76891469"/>
    <w:rsid w:val="79B77CFF"/>
    <w:rsid w:val="79D56E00"/>
    <w:rsid w:val="7A760247"/>
    <w:rsid w:val="7BE60E0F"/>
    <w:rsid w:val="7D2C2C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qFormat/>
    <w:uiPriority w:val="99"/>
    <w:pPr>
      <w:ind w:left="100" w:leftChars="2500"/>
    </w:pPr>
  </w:style>
  <w:style w:type="paragraph" w:styleId="3">
    <w:name w:val="Balloon Text"/>
    <w:basedOn w:val="1"/>
    <w:link w:val="17"/>
    <w:semiHidden/>
    <w:qFormat/>
    <w:uiPriority w:val="99"/>
    <w:rPr>
      <w:sz w:val="18"/>
      <w:szCs w:val="18"/>
    </w:rPr>
  </w:style>
  <w:style w:type="paragraph" w:styleId="4">
    <w:name w:val="footer"/>
    <w:basedOn w:val="1"/>
    <w:link w:val="18"/>
    <w:qFormat/>
    <w:uiPriority w:val="99"/>
    <w:pPr>
      <w:tabs>
        <w:tab w:val="center" w:pos="4153"/>
        <w:tab w:val="right" w:pos="8306"/>
      </w:tabs>
      <w:snapToGrid w:val="0"/>
      <w:jc w:val="left"/>
    </w:pPr>
    <w:rPr>
      <w:sz w:val="18"/>
      <w:szCs w:val="18"/>
    </w:rPr>
  </w:style>
  <w:style w:type="paragraph" w:styleId="5">
    <w:name w:val="header"/>
    <w:basedOn w:val="1"/>
    <w:link w:val="19"/>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styleId="11">
    <w:name w:val="FollowedHyperlink"/>
    <w:basedOn w:val="9"/>
    <w:unhideWhenUsed/>
    <w:qFormat/>
    <w:uiPriority w:val="99"/>
    <w:rPr>
      <w:color w:val="800080"/>
      <w:u w:val="none"/>
    </w:rPr>
  </w:style>
  <w:style w:type="character" w:styleId="12">
    <w:name w:val="Emphasis"/>
    <w:basedOn w:val="9"/>
    <w:qFormat/>
    <w:locked/>
    <w:uiPriority w:val="0"/>
    <w:rPr>
      <w:rFonts w:ascii="宋体" w:hAnsi="宋体" w:eastAsia="宋体" w:cs="宋体"/>
      <w:sz w:val="18"/>
      <w:szCs w:val="18"/>
    </w:rPr>
  </w:style>
  <w:style w:type="character" w:styleId="13">
    <w:name w:val="Hyperlink"/>
    <w:basedOn w:val="9"/>
    <w:unhideWhenUsed/>
    <w:qFormat/>
    <w:uiPriority w:val="99"/>
    <w:rPr>
      <w:color w:val="0000FF"/>
      <w:u w:val="none"/>
    </w:rPr>
  </w:style>
  <w:style w:type="character" w:styleId="14">
    <w:name w:val="HTML Code"/>
    <w:basedOn w:val="9"/>
    <w:unhideWhenUsed/>
    <w:qFormat/>
    <w:uiPriority w:val="99"/>
    <w:rPr>
      <w:rFonts w:ascii="宋体" w:hAnsi="宋体" w:eastAsia="宋体" w:cs="宋体"/>
      <w:sz w:val="18"/>
      <w:szCs w:val="18"/>
    </w:rPr>
  </w:style>
  <w:style w:type="character" w:styleId="15">
    <w:name w:val="HTML Cite"/>
    <w:basedOn w:val="9"/>
    <w:unhideWhenUsed/>
    <w:qFormat/>
    <w:uiPriority w:val="99"/>
    <w:rPr>
      <w:rFonts w:ascii="宋体" w:hAnsi="宋体" w:eastAsia="宋体" w:cs="宋体"/>
      <w:sz w:val="18"/>
      <w:szCs w:val="18"/>
    </w:rPr>
  </w:style>
  <w:style w:type="character" w:customStyle="1" w:styleId="16">
    <w:name w:val="日期 Char"/>
    <w:basedOn w:val="9"/>
    <w:link w:val="2"/>
    <w:semiHidden/>
    <w:qFormat/>
    <w:locked/>
    <w:uiPriority w:val="99"/>
    <w:rPr>
      <w:rFonts w:cs="Times New Roman"/>
    </w:rPr>
  </w:style>
  <w:style w:type="character" w:customStyle="1" w:styleId="17">
    <w:name w:val="批注框文本 Char"/>
    <w:basedOn w:val="9"/>
    <w:link w:val="3"/>
    <w:semiHidden/>
    <w:qFormat/>
    <w:locked/>
    <w:uiPriority w:val="99"/>
    <w:rPr>
      <w:rFonts w:cs="Times New Roman"/>
      <w:sz w:val="18"/>
      <w:szCs w:val="18"/>
    </w:rPr>
  </w:style>
  <w:style w:type="character" w:customStyle="1" w:styleId="18">
    <w:name w:val="页脚 Char"/>
    <w:basedOn w:val="9"/>
    <w:link w:val="4"/>
    <w:qFormat/>
    <w:locked/>
    <w:uiPriority w:val="99"/>
    <w:rPr>
      <w:rFonts w:cs="Times New Roman"/>
      <w:sz w:val="18"/>
      <w:szCs w:val="18"/>
    </w:rPr>
  </w:style>
  <w:style w:type="character" w:customStyle="1" w:styleId="19">
    <w:name w:val="页眉 Char"/>
    <w:basedOn w:val="9"/>
    <w:link w:val="5"/>
    <w:semiHidden/>
    <w:qFormat/>
    <w:locked/>
    <w:uiPriority w:val="99"/>
    <w:rPr>
      <w:rFonts w:cs="Times New Roman"/>
      <w:sz w:val="18"/>
      <w:szCs w:val="18"/>
    </w:rPr>
  </w:style>
  <w:style w:type="paragraph" w:customStyle="1" w:styleId="20">
    <w:name w:val="List Paragraph1"/>
    <w:basedOn w:val="1"/>
    <w:qFormat/>
    <w:uiPriority w:val="99"/>
    <w:pPr>
      <w:ind w:firstLine="420" w:firstLineChars="200"/>
    </w:pPr>
  </w:style>
  <w:style w:type="paragraph" w:customStyle="1" w:styleId="21">
    <w:name w:val="char"/>
    <w:basedOn w:val="1"/>
    <w:qFormat/>
    <w:uiPriority w:val="99"/>
    <w:pPr>
      <w:widowControl/>
      <w:spacing w:after="160" w:line="240" w:lineRule="exact"/>
      <w:jc w:val="left"/>
    </w:pPr>
    <w:rPr>
      <w:rFonts w:cs="Times New Roman"/>
      <w:szCs w:val="22"/>
    </w:rPr>
  </w:style>
  <w:style w:type="character" w:customStyle="1" w:styleId="22">
    <w:name w:val="hover42"/>
    <w:basedOn w:val="9"/>
    <w:qFormat/>
    <w:uiPriority w:val="0"/>
    <w:rPr>
      <w:color w:val="000000"/>
      <w:shd w:val="clear" w:color="auto" w:fill="FFFFFF"/>
    </w:rPr>
  </w:style>
  <w:style w:type="character" w:customStyle="1" w:styleId="23">
    <w:name w:val="bsharetext"/>
    <w:basedOn w:val="9"/>
    <w:qFormat/>
    <w:uiPriority w:val="0"/>
  </w:style>
  <w:style w:type="paragraph" w:styleId="24">
    <w:name w:val="List Paragraph"/>
    <w:basedOn w:val="1"/>
    <w:unhideWhenUsed/>
    <w:qFormat/>
    <w:uiPriority w:val="99"/>
    <w:pPr>
      <w:ind w:firstLine="420" w:firstLineChars="200"/>
    </w:pPr>
  </w:style>
  <w:style w:type="character" w:customStyle="1" w:styleId="25">
    <w:name w:val="正文文本_"/>
    <w:basedOn w:val="9"/>
    <w:link w:val="26"/>
    <w:unhideWhenUsed/>
    <w:qFormat/>
    <w:uiPriority w:val="99"/>
    <w:rPr>
      <w:rFonts w:hint="eastAsia" w:ascii="MingLiU" w:hAnsi="MingLiU" w:eastAsia="MingLiU"/>
      <w:sz w:val="24"/>
      <w:lang w:val="zh-CN" w:eastAsia="zh-CN"/>
    </w:rPr>
  </w:style>
  <w:style w:type="paragraph" w:customStyle="1" w:styleId="26">
    <w:name w:val="正文文本1"/>
    <w:basedOn w:val="1"/>
    <w:link w:val="25"/>
    <w:unhideWhenUsed/>
    <w:qFormat/>
    <w:uiPriority w:val="99"/>
    <w:pPr>
      <w:shd w:val="clear" w:color="auto" w:fill="FFFFFF"/>
      <w:spacing w:after="220" w:line="466" w:lineRule="auto"/>
      <w:ind w:firstLine="400"/>
    </w:pPr>
    <w:rPr>
      <w:rFonts w:hint="eastAsia" w:ascii="MingLiU" w:hAnsi="MingLiU" w:eastAsia="MingLiU"/>
      <w:sz w:val="24"/>
      <w:lang w:val="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D24AA-4C65-4705-812B-D9AEDA48963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1641</Words>
  <Characters>9356</Characters>
  <Lines>77</Lines>
  <Paragraphs>21</Paragraphs>
  <TotalTime>243</TotalTime>
  <ScaleCrop>false</ScaleCrop>
  <LinksUpToDate>false</LinksUpToDate>
  <CharactersWithSpaces>10976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2020-11-18T09:01:00Z</dcterms:created>
  <dc:creator>Administrator</dc:creator>
  <cp:lastModifiedBy>Administrator</cp:lastModifiedBy>
  <cp:lastPrinted>2021-01-08T06:14:00Z</cp:lastPrinted>
  <dcterms:modified xsi:type="dcterms:W3CDTF">2021-01-11T07:20:46Z</dcterms:modified>
  <dc:title>2015年益阳市司法局</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