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简体" w:hAnsi="黑体" w:eastAsia="方正小标宋简体" w:cs="黑体"/>
          <w:sz w:val="44"/>
          <w:szCs w:val="44"/>
        </w:rPr>
      </w:pPr>
    </w:p>
    <w:p>
      <w:pPr>
        <w:spacing w:line="700" w:lineRule="exact"/>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2019年湖南省（益阳市）土地储备专项债券（一期）项目资金绩效评价报告</w:t>
      </w:r>
    </w:p>
    <w:p>
      <w:pPr>
        <w:spacing w:beforeLines="50"/>
        <w:jc w:val="center"/>
        <w:rPr>
          <w:rFonts w:hint="eastAsia" w:ascii="楷体_GB2312" w:hAnsi="仿宋" w:eastAsia="楷体_GB2312" w:cs="仿宋"/>
          <w:sz w:val="32"/>
          <w:szCs w:val="32"/>
        </w:rPr>
      </w:pPr>
      <w:r>
        <w:rPr>
          <w:rFonts w:hint="eastAsia" w:ascii="楷体_GB2312" w:hAnsi="仿宋" w:eastAsia="楷体_GB2312" w:cs="仿宋"/>
          <w:sz w:val="32"/>
          <w:szCs w:val="32"/>
        </w:rPr>
        <w:t>恒信弘正会计师事务所有限责任公司益阳分所</w:t>
      </w:r>
    </w:p>
    <w:p>
      <w:pPr>
        <w:ind w:firstLine="640" w:firstLineChars="200"/>
        <w:jc w:val="left"/>
        <w:rPr>
          <w:rFonts w:hint="eastAsia" w:ascii="仿宋_GB2312" w:hAnsi="仿宋" w:eastAsia="仿宋_GB2312" w:cs="仿宋"/>
          <w:sz w:val="32"/>
          <w:szCs w:val="32"/>
          <w:shd w:val="clear" w:color="auto" w:fill="FFFFFF"/>
        </w:rPr>
      </w:pPr>
    </w:p>
    <w:p>
      <w:pPr>
        <w:ind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shd w:val="clear" w:color="auto" w:fill="FFFFFF"/>
        </w:rPr>
        <w:t>为了加强财政资金管理，强化支出责任，提高财政资金的使用效益，建立科学、合理的财政支出绩效评价体系，根据《中共中央 国务院关于全面实施预算绩效管理的意见》（中发</w:t>
      </w:r>
      <w:r>
        <w:rPr>
          <w:rFonts w:hint="eastAsia" w:ascii="仿宋_GB2312" w:hAnsi="仿宋" w:eastAsia="仿宋_GB2312" w:cs="仿宋"/>
          <w:sz w:val="32"/>
          <w:szCs w:val="32"/>
        </w:rPr>
        <w:t>〔2018</w:t>
      </w:r>
      <w:r>
        <w:rPr>
          <w:rFonts w:hint="eastAsia" w:ascii="仿宋_GB2312" w:hAnsi="仿宋" w:eastAsia="仿宋_GB2312" w:cs="仿宋"/>
          <w:bCs/>
          <w:sz w:val="32"/>
          <w:szCs w:val="32"/>
        </w:rPr>
        <w:t>〕34号</w:t>
      </w:r>
      <w:r>
        <w:rPr>
          <w:rFonts w:hint="eastAsia" w:ascii="仿宋_GB2312" w:hAnsi="仿宋" w:eastAsia="仿宋_GB2312" w:cs="仿宋"/>
          <w:sz w:val="32"/>
          <w:szCs w:val="32"/>
          <w:shd w:val="clear" w:color="auto" w:fill="FFFFFF"/>
        </w:rPr>
        <w:t>）、财政部《财政支出绩效评价管理暂行办法》（财预</w:t>
      </w:r>
      <w:r>
        <w:rPr>
          <w:rFonts w:hint="eastAsia" w:ascii="仿宋_GB2312" w:hAnsi="仿宋" w:eastAsia="仿宋_GB2312" w:cs="仿宋"/>
          <w:sz w:val="32"/>
          <w:szCs w:val="32"/>
        </w:rPr>
        <w:t>〔2011</w:t>
      </w:r>
      <w:r>
        <w:rPr>
          <w:rFonts w:hint="eastAsia" w:ascii="仿宋_GB2312" w:hAnsi="仿宋" w:eastAsia="仿宋_GB2312" w:cs="仿宋"/>
          <w:bCs/>
          <w:sz w:val="32"/>
          <w:szCs w:val="32"/>
        </w:rPr>
        <w:t>〕285号</w:t>
      </w:r>
      <w:r>
        <w:rPr>
          <w:rFonts w:hint="eastAsia" w:ascii="仿宋_GB2312" w:hAnsi="仿宋" w:eastAsia="仿宋_GB2312" w:cs="仿宋"/>
          <w:sz w:val="32"/>
          <w:szCs w:val="32"/>
          <w:shd w:val="clear" w:color="auto" w:fill="FFFFFF"/>
        </w:rPr>
        <w:t>）、</w:t>
      </w:r>
      <w:r>
        <w:rPr>
          <w:rFonts w:hint="eastAsia" w:ascii="仿宋_GB2312" w:hAnsi="仿宋" w:eastAsia="仿宋_GB2312" w:cs="仿宋"/>
          <w:bCs/>
          <w:sz w:val="32"/>
          <w:szCs w:val="32"/>
        </w:rPr>
        <w:t>益阳市人民政府《关于全面推进预算绩效管理的实施意见》（益政发〔2013〕10号）、</w:t>
      </w:r>
      <w:r>
        <w:rPr>
          <w:rFonts w:hint="eastAsia" w:ascii="仿宋_GB2312" w:hAnsi="仿宋" w:eastAsia="仿宋_GB2312" w:cs="仿宋"/>
          <w:sz w:val="32"/>
          <w:szCs w:val="32"/>
        </w:rPr>
        <w:t>《益阳市财政局关于转发〈湖南省预算绩效管理工作规程（试行）〉的通知》（益财绩〔2014〕126号）、《益阳市财政局关于做好2020年市级财政重点绩效评价工作的通知》（益财绩〔2020</w:t>
      </w:r>
      <w:r>
        <w:rPr>
          <w:rFonts w:hint="eastAsia" w:ascii="仿宋_GB2312" w:hAnsi="仿宋" w:eastAsia="仿宋_GB2312" w:cs="仿宋"/>
          <w:bCs/>
          <w:sz w:val="32"/>
          <w:szCs w:val="32"/>
        </w:rPr>
        <w:t>〕</w:t>
      </w:r>
      <w:r>
        <w:rPr>
          <w:rFonts w:hint="eastAsia" w:ascii="仿宋_GB2312" w:hAnsi="仿宋" w:eastAsia="仿宋_GB2312" w:cs="仿宋"/>
          <w:sz w:val="32"/>
          <w:szCs w:val="32"/>
        </w:rPr>
        <w:t>147号）等文件精神，受市财政局委托，我所成立绩效评价工作组，于2020年7月1日—9月10日对2019年湖南省（益阳市）土地储备专项债券（一期）项目资金（以下简称项目资金）开展了绩效评价。现将有关情况报告如下：</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一、基本情况</w:t>
      </w:r>
    </w:p>
    <w:p>
      <w:pPr>
        <w:topLinePunct/>
        <w:ind w:firstLine="640" w:firstLineChars="200"/>
        <w:rPr>
          <w:rFonts w:hint="eastAsia" w:ascii="仿宋_GB2312" w:hAnsi="仿宋" w:eastAsia="仿宋_GB2312" w:cs="仿宋"/>
          <w:color w:val="FF0000"/>
          <w:sz w:val="32"/>
          <w:szCs w:val="32"/>
        </w:rPr>
      </w:pPr>
      <w:r>
        <w:rPr>
          <w:rFonts w:hint="eastAsia" w:ascii="楷体_GB2312" w:hAnsi="仿宋" w:eastAsia="楷体_GB2312" w:cs="仿宋"/>
          <w:sz w:val="32"/>
          <w:szCs w:val="32"/>
        </w:rPr>
        <w:t>（一）项目单位基本情况。</w:t>
      </w:r>
      <w:r>
        <w:rPr>
          <w:rFonts w:hint="eastAsia" w:ascii="仿宋_GB2312" w:hAnsi="仿宋" w:eastAsia="仿宋_GB2312" w:cs="仿宋"/>
          <w:sz w:val="32"/>
          <w:szCs w:val="32"/>
        </w:rPr>
        <w:t>益阳市城市建设投资运营集团有限责任公司成立于1996年03月26日，法定代表人为刘松涛，注册资本为65000万元人民币，统一社会信用代码为91430900446888518N。由益阳市人民政府国有资产监督管理委员会出资组建，企业地址位于益阳市赫山区梓山环路888号，所属行业为商务服务业，经营范围包含：城市建设项目投资开发；水利建设项目投资开发；土地开发；房地产开发。内设党委办公室、监察室、综合管理部、人力资源部、总工办、法务审计部、工程管理部、财务部、融资部、投资发展部、资产管理部11个职能部室。</w:t>
      </w:r>
    </w:p>
    <w:p>
      <w:pPr>
        <w:topLinePunct/>
        <w:ind w:firstLine="640" w:firstLineChars="200"/>
        <w:rPr>
          <w:rFonts w:hint="eastAsia" w:ascii="仿宋_GB2312" w:hAnsi="仿宋" w:eastAsia="仿宋_GB2312" w:cs="仿宋"/>
          <w:sz w:val="32"/>
          <w:szCs w:val="32"/>
        </w:rPr>
      </w:pPr>
      <w:r>
        <w:rPr>
          <w:rFonts w:hint="eastAsia" w:ascii="楷体_GB2312" w:hAnsi="仿宋" w:eastAsia="楷体_GB2312" w:cs="仿宋"/>
          <w:sz w:val="32"/>
          <w:szCs w:val="32"/>
        </w:rPr>
        <w:t>（二）项目基本情况。</w:t>
      </w:r>
      <w:r>
        <w:rPr>
          <w:rFonts w:hint="eastAsia" w:ascii="仿宋_GB2312" w:hAnsi="仿宋" w:eastAsia="仿宋_GB2312" w:cs="仿宋"/>
          <w:sz w:val="32"/>
          <w:szCs w:val="32"/>
        </w:rPr>
        <w:t>根据《财政部国土资源部关于印发＜地方政府土地储备专项债券管理办法（试行）＞的通知》（财预〔2017〕62号）、《财政部关于做好2018 年地方政府债务管理工作的通知》（财预〔2018〕34号）、《财政部关于做好2018年地方政府债券发行工作的意见》（财库〔2018〕61号）等文件要求，为做好2019年土地储备专项债券发行工作，益阳市城市建设投资运营集团有限责任公司（简称：市城投集团）结合省财政厅下达的2019年新增土地储备专项债务额度，按照财预〔2017〕62号等文件要求，选择“益阳城市学院项目”作为2019年土地储备专项债券的募投项目上报，拟用作教育用途。该项目位于益阳大道北侧、康富路西侧，总面积为292.83 亩，用途为其它商服、城镇住宅用地，使用权类型为出让，产权人为“湖南银城基础建设置业有限公司”。市城投集团于2018年9月与湖南银城基础建设置业有限公司签定了土地收购协议,合同总金额为74131.7146万元，其中53131.7146万元为自筹资金，21000万元为专项债券资金。本次债券发行金额为10000万元，债券期限为5年，品种为记账式固定利率付息债券，利息按年支付，到期还本并支付最后一次利息。</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二、项目资金使用及管理情况</w:t>
      </w:r>
    </w:p>
    <w:p>
      <w:pPr>
        <w:topLinePunct/>
        <w:ind w:firstLine="640" w:firstLineChars="200"/>
        <w:rPr>
          <w:rFonts w:hint="eastAsia"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土地储备专项债券资金性质为政府性基金，资金10000万元于2019年5月29日到位，按照湖南省财政厅2019年地方政府新增债券利率及使用期限执行，债券资金按规定用于土地储备项目建设，不得挪作他用，由益阳市财政局检查、监督资金的使用情况。</w:t>
      </w:r>
    </w:p>
    <w:p>
      <w:pPr>
        <w:topLinePunct/>
        <w:ind w:firstLine="640" w:firstLineChars="200"/>
        <w:rPr>
          <w:rFonts w:hint="eastAsia" w:ascii="仿宋_GB2312" w:hAnsi="仿宋" w:eastAsia="仿宋_GB2312" w:cs="仿宋"/>
          <w:sz w:val="32"/>
          <w:szCs w:val="32"/>
          <w:highlight w:val="yellow"/>
        </w:rPr>
      </w:pPr>
      <w:r>
        <w:rPr>
          <w:rFonts w:hint="eastAsia" w:ascii="仿宋_GB2312" w:hAnsi="仿宋" w:eastAsia="仿宋_GB2312" w:cs="仿宋"/>
          <w:color w:val="000000" w:themeColor="text1"/>
          <w:sz w:val="32"/>
          <w:szCs w:val="32"/>
        </w:rPr>
        <w:t>为加强项目资金管理，合理、有效、规范使用专项资金，最大限度的发挥项目资金效益，市城投集团建立健全了专项资金管理制度，完善了专项资金管理流程，遵循专人负责、专款专用、专账核算，严格按照相关会计制度进行核实和财务处理，做到财务处理及时、会计核算规范。项目资金由国库集中支付管理，严把审批关，杜绝了弄虚作假、截留、挤占、挪用专项资金的情况发生，确保项目资金安全有效。</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三、项目组织实施情况</w:t>
      </w:r>
    </w:p>
    <w:p>
      <w:pPr>
        <w:topLinePunct/>
        <w:ind w:firstLine="640" w:firstLineChars="200"/>
        <w:rPr>
          <w:rFonts w:hint="eastAsia" w:ascii="仿宋_GB2312" w:hAnsi="仿宋" w:eastAsia="仿宋_GB2312" w:cs="仿宋"/>
          <w:color w:val="313131"/>
          <w:kern w:val="0"/>
          <w:sz w:val="32"/>
          <w:szCs w:val="32"/>
        </w:rPr>
      </w:pPr>
      <w:r>
        <w:rPr>
          <w:rFonts w:hint="eastAsia" w:ascii="仿宋_GB2312" w:hAnsi="仿宋" w:eastAsia="仿宋_GB2312" w:cs="仿宋"/>
          <w:sz w:val="32"/>
          <w:szCs w:val="32"/>
        </w:rPr>
        <w:t>（一）项目前期进行专项债券对应项目详细情况、项目融资来源、项目预期收益情况、收益和融资平衡方案分析，以及由第三方专业机构出具的评估意见等，项目立项融资。</w:t>
      </w:r>
    </w:p>
    <w:p>
      <w:pPr>
        <w:topLinePunct/>
        <w:ind w:firstLine="640" w:firstLineChars="200"/>
        <w:rPr>
          <w:rFonts w:hint="eastAsia" w:ascii="仿宋_GB2312" w:hAnsi="仿宋" w:eastAsia="仿宋_GB2312" w:cs="仿宋"/>
          <w:color w:val="313131"/>
          <w:kern w:val="0"/>
          <w:sz w:val="32"/>
          <w:szCs w:val="32"/>
        </w:rPr>
      </w:pPr>
      <w:r>
        <w:rPr>
          <w:rFonts w:hint="eastAsia" w:ascii="仿宋_GB2312" w:hAnsi="仿宋" w:eastAsia="仿宋_GB2312" w:cs="仿宋"/>
          <w:color w:val="313131"/>
          <w:kern w:val="0"/>
          <w:sz w:val="32"/>
          <w:szCs w:val="32"/>
        </w:rPr>
        <w:t>（二）</w:t>
      </w:r>
      <w:r>
        <w:rPr>
          <w:rFonts w:hint="eastAsia" w:ascii="仿宋_GB2312" w:hAnsi="仿宋" w:eastAsia="仿宋_GB2312" w:cs="仿宋"/>
          <w:sz w:val="32"/>
          <w:szCs w:val="32"/>
        </w:rPr>
        <w:t>2018年9月市城投集团根据市政府指示，与市人民政府、市土地储备发展中心、湖南银城基础建设置业有限公司、湖南轨道交通控股集团有限公司签定了土地收回协议,共计以74131.7146万元对原湖南城市学院朝阳校区292.83亩土地收回市土地储备中心。</w:t>
      </w:r>
      <w:r>
        <w:rPr>
          <w:rFonts w:hint="eastAsia" w:ascii="仿宋_GB2312" w:hAnsi="仿宋" w:eastAsia="仿宋_GB2312" w:cs="仿宋"/>
          <w:color w:val="313131"/>
          <w:kern w:val="0"/>
          <w:sz w:val="32"/>
          <w:szCs w:val="32"/>
        </w:rPr>
        <w:t>2019年11月8日共计74131.7146万元已全部支付出去。</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color w:val="313131"/>
          <w:kern w:val="0"/>
          <w:sz w:val="32"/>
          <w:szCs w:val="32"/>
        </w:rPr>
        <w:t>（三）项目开工日期为2019年10月1日，项目周期为2019年10月1日-2023年9月1日，项目运营总期限为4年。</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四、绩效评价工作情况</w:t>
      </w:r>
    </w:p>
    <w:p>
      <w:pPr>
        <w:topLinePunct/>
        <w:ind w:firstLine="640" w:firstLineChars="200"/>
        <w:rPr>
          <w:rFonts w:hint="eastAsia" w:ascii="仿宋_GB2312" w:hAnsi="仿宋" w:eastAsia="仿宋_GB2312" w:cs="仿宋"/>
          <w:sz w:val="32"/>
          <w:szCs w:val="32"/>
        </w:rPr>
      </w:pPr>
      <w:r>
        <w:rPr>
          <w:rFonts w:hint="eastAsia" w:ascii="楷体_GB2312" w:hAnsi="仿宋" w:eastAsia="楷体_GB2312" w:cs="仿宋"/>
          <w:sz w:val="32"/>
          <w:szCs w:val="32"/>
        </w:rPr>
        <w:t>（一）绩效评价目的。</w:t>
      </w:r>
      <w:r>
        <w:rPr>
          <w:rFonts w:hint="eastAsia" w:ascii="仿宋_GB2312" w:hAnsi="仿宋" w:eastAsia="仿宋_GB2312" w:cs="仿宋"/>
          <w:sz w:val="32"/>
          <w:szCs w:val="32"/>
        </w:rPr>
        <w:t>通过绩效评价全面分析2019年湖南省（益阳市）土地储备专项债券（一期）使用及管理等情况，督促项目单位进一步完善项目披露、实施等程序，规范资金使用及管理，切实提高财政资金使用效益。</w:t>
      </w:r>
    </w:p>
    <w:p>
      <w:pPr>
        <w:topLinePunct/>
        <w:ind w:firstLine="640" w:firstLineChars="200"/>
        <w:rPr>
          <w:rFonts w:hint="eastAsia" w:ascii="楷体_GB2312" w:hAnsi="仿宋" w:eastAsia="楷体_GB2312" w:cs="仿宋"/>
          <w:sz w:val="32"/>
          <w:szCs w:val="32"/>
        </w:rPr>
      </w:pPr>
      <w:r>
        <w:rPr>
          <w:rFonts w:hint="eastAsia" w:ascii="楷体_GB2312" w:hAnsi="仿宋" w:eastAsia="楷体_GB2312" w:cs="仿宋"/>
          <w:sz w:val="32"/>
          <w:szCs w:val="32"/>
        </w:rPr>
        <w:t>（二）评价依据</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（1）中华人民共和国预算法；</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（2）中共中央 国务院《关于全面实施预算绩效管理的意见》（中发〔2018〕34号）；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（3）《财政支出绩效评价管理暂行办法》（财预〔2011〕285号）；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（4）财政部《关于推进预算绩效管理的指导意见》（财预〔2011〕416号）；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（5）《益阳市财政局关于转发&lt;湖南省预算绩效管理工作规程（试行）&gt;的通知》（益财绩〔2014〕126号）；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（6）《中共湖南省委办公厅 湖南省人民政府办公厅关于全面实施预算绩效管理的实施意见》（湘办发〔2019〕10号）；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（7）国务院《关于加强地方政府性债务管理的意见》（国发〔2014〕43号）；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（8）《土地储备管理办法》（国土资规〔2017〕17号）；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（9）《土地储备资金财务管理办法》（财综〔2018〕8号）；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（10）《地方政府土地储备专项债券管理办法（试行）》（财预〔2017〕62号）；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（11）其他国家相关法律法规和财务会计制度。</w:t>
      </w:r>
    </w:p>
    <w:p>
      <w:pPr>
        <w:topLinePunct/>
        <w:ind w:firstLine="640" w:firstLineChars="200"/>
        <w:rPr>
          <w:rFonts w:hint="eastAsia" w:ascii="仿宋_GB2312" w:hAnsi="仿宋" w:eastAsia="仿宋_GB2312" w:cs="仿宋"/>
          <w:sz w:val="32"/>
          <w:szCs w:val="32"/>
        </w:rPr>
      </w:pPr>
      <w:r>
        <w:rPr>
          <w:rFonts w:hint="eastAsia" w:ascii="楷体_GB2312" w:hAnsi="仿宋" w:eastAsia="楷体_GB2312" w:cs="仿宋"/>
          <w:sz w:val="32"/>
          <w:szCs w:val="32"/>
        </w:rPr>
        <w:t>（三）绩效评价工作过程。</w:t>
      </w:r>
      <w:r>
        <w:rPr>
          <w:rFonts w:hint="eastAsia" w:ascii="仿宋_GB2312" w:hAnsi="仿宋" w:eastAsia="仿宋_GB2312" w:cs="仿宋"/>
          <w:sz w:val="32"/>
          <w:szCs w:val="32"/>
        </w:rPr>
        <w:t>按照相关政策规定和益财绩〔2020</w:t>
      </w:r>
      <w:r>
        <w:rPr>
          <w:rFonts w:hint="eastAsia" w:ascii="仿宋_GB2312" w:hAnsi="仿宋" w:eastAsia="仿宋_GB2312" w:cs="仿宋"/>
          <w:bCs/>
          <w:sz w:val="32"/>
          <w:szCs w:val="32"/>
        </w:rPr>
        <w:t>〕</w:t>
      </w:r>
      <w:r>
        <w:rPr>
          <w:rFonts w:hint="eastAsia" w:ascii="仿宋_GB2312" w:hAnsi="仿宋" w:eastAsia="仿宋_GB2312" w:cs="仿宋"/>
          <w:sz w:val="32"/>
          <w:szCs w:val="32"/>
        </w:rPr>
        <w:t>147号文件要求，我所按下列步骤开展评价：</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 xml:space="preserve"> 1.前期准备。我所抽调专人成立绩效评价工作组，明确了工作职责，制定了现场评价方案，设计了相关表格，确定了实施时间。</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实施情况。项目绩效评价实施步骤：（1）召开座谈会。组织市局金融与债务科、市城投集团、市土地储备发展中心召开座谈会，听取该项目有关情况介绍。（2）收集核查资料。收集该项目相关政策文件和项目单位相关制度等资料；核查相关制度是否完善，资金使用和管理是否合规、手续是否齐全、是否存在挤占、截留、挪用等情况。（3）现场查看。进行实地查看，调查走访，发放问卷调查。（4）得出评价结论，形成绩效评价报告。</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五、绩效评价结果和主要绩效</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根据该项目资金绩效评价指标体系和绩效检查情况，该项目整体绩效分值100分，实得74分，被评为“</w:t>
      </w:r>
      <w:bookmarkStart w:id="0" w:name="_GoBack"/>
      <w:bookmarkEnd w:id="0"/>
      <w:r>
        <w:rPr>
          <w:rFonts w:hint="eastAsia" w:ascii="仿宋_GB2312" w:hAnsi="仿宋" w:eastAsia="仿宋_GB2312" w:cs="仿宋"/>
          <w:sz w:val="32"/>
          <w:szCs w:val="32"/>
          <w:lang w:eastAsia="zh-CN"/>
        </w:rPr>
        <w:t>合格</w:t>
      </w:r>
      <w:r>
        <w:rPr>
          <w:rFonts w:hint="eastAsia" w:ascii="仿宋_GB2312" w:hAnsi="仿宋" w:eastAsia="仿宋_GB2312" w:cs="仿宋"/>
          <w:sz w:val="32"/>
          <w:szCs w:val="32"/>
        </w:rPr>
        <w:t>”等级。主要绩效表现在以下几个方面：</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一是该项目有效控制预算，有序推进。该项目自2018年9月17日签订五方协议，收回的三宗土地共计292.83亩，协议约定应支付的金额共计74131.7146万元，支付最终期限定于2019年1月13日。于2019年11月8日根据合同金额全部支付完毕，未超出预算，相关收储手续在有序办理中。</w:t>
      </w:r>
    </w:p>
    <w:p>
      <w:pPr>
        <w:topLinePunct/>
        <w:ind w:firstLine="640" w:firstLineChars="200"/>
        <w:rPr>
          <w:rFonts w:ascii="仿宋" w:hAnsi="仿宋" w:eastAsia="仿宋" w:cs="仿宋"/>
          <w:sz w:val="32"/>
          <w:szCs w:val="32"/>
        </w:rPr>
      </w:pPr>
      <w:r>
        <w:rPr>
          <w:rFonts w:hint="eastAsia" w:ascii="仿宋_GB2312" w:hAnsi="仿宋" w:eastAsia="仿宋_GB2312" w:cs="仿宋"/>
          <w:sz w:val="32"/>
          <w:szCs w:val="32"/>
        </w:rPr>
        <w:t>二是该项目实施对经济和社会的影响极为深远。拟计划在收回地块上建设一所公办初中学校，办学规模为24个班，1200个学位，按照《湖南省中小学校建设指南》校园面积32</w:t>
      </w:r>
      <w:r>
        <w:rPr>
          <w:rFonts w:hint="eastAsia" w:ascii="仿宋_GB2312" w:hAnsi="仿宋" w:eastAsia="仿宋" w:cs="仿宋"/>
          <w:sz w:val="32"/>
          <w:szCs w:val="32"/>
        </w:rPr>
        <w:t>㎡</w:t>
      </w:r>
      <w:r>
        <w:rPr>
          <w:rFonts w:hint="eastAsia" w:ascii="仿宋_GB2312" w:hAnsi="仿宋" w:eastAsia="仿宋_GB2312" w:cs="仿宋"/>
          <w:sz w:val="32"/>
          <w:szCs w:val="32"/>
        </w:rPr>
        <w:t>/生的规定，校园面积38400</w:t>
      </w:r>
      <w:r>
        <w:rPr>
          <w:rFonts w:hint="eastAsia" w:ascii="仿宋_GB2312" w:hAnsi="仿宋" w:eastAsia="仿宋" w:cs="仿宋"/>
          <w:sz w:val="32"/>
          <w:szCs w:val="32"/>
        </w:rPr>
        <w:t>㎡</w:t>
      </w:r>
      <w:r>
        <w:rPr>
          <w:rFonts w:hint="eastAsia" w:ascii="仿宋_GB2312" w:hAnsi="仿宋" w:eastAsia="仿宋_GB2312" w:cs="仿宋"/>
          <w:sz w:val="32"/>
          <w:szCs w:val="32"/>
        </w:rPr>
        <w:t>，满足现代初中学校的教研、教改、教学活动需求，其他功能室和配套设施建设按《湖南省中小学校建设指南》执行。本次公办初中学校的建设辐射周边5公里范围，便利于周边居民子女的教育问题，更带动了整个片区的房地产开发和经济体系的发展。其余土地计划以商服用地出让，预计收益为2-5亿元。</w:t>
      </w:r>
    </w:p>
    <w:p>
      <w:pPr>
        <w:topLinePunct/>
        <w:ind w:firstLine="640" w:firstLineChars="200"/>
        <w:jc w:val="center"/>
        <w:rPr>
          <w:rFonts w:hint="eastAsia" w:ascii="方正小标宋简体" w:hAnsi="仿宋" w:eastAsia="方正小标宋简体" w:cs="仿宋"/>
          <w:sz w:val="32"/>
          <w:szCs w:val="32"/>
        </w:rPr>
      </w:pPr>
      <w:r>
        <w:rPr>
          <w:rFonts w:hint="eastAsia" w:ascii="方正小标宋简体" w:hAnsi="仿宋" w:eastAsia="方正小标宋简体" w:cs="仿宋"/>
          <w:sz w:val="32"/>
          <w:szCs w:val="32"/>
        </w:rPr>
        <w:t>益阳市本级土地储备项目土地出让收入预测表</w:t>
      </w:r>
    </w:p>
    <w:p>
      <w:pPr>
        <w:topLinePunct/>
        <w:ind w:firstLine="480" w:firstLineChars="200"/>
        <w:jc w:val="right"/>
        <w:rPr>
          <w:rFonts w:ascii="仿宋" w:hAnsi="仿宋" w:eastAsia="仿宋" w:cs="仿宋"/>
          <w:sz w:val="24"/>
          <w:szCs w:val="24"/>
        </w:rPr>
      </w:pPr>
      <w:r>
        <w:rPr>
          <w:rFonts w:hint="eastAsia" w:ascii="仿宋" w:hAnsi="仿宋" w:eastAsia="仿宋" w:cs="仿宋"/>
          <w:sz w:val="24"/>
          <w:szCs w:val="24"/>
        </w:rPr>
        <w:t>单位：万元、亩、万元/亩</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2"/>
        <w:gridCol w:w="1165"/>
        <w:gridCol w:w="906"/>
        <w:gridCol w:w="1683"/>
        <w:gridCol w:w="1424"/>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1046"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项目名称</w:t>
            </w:r>
          </w:p>
        </w:tc>
        <w:tc>
          <w:tcPr>
            <w:tcW w:w="684"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预计出让面积</w:t>
            </w:r>
          </w:p>
        </w:tc>
        <w:tc>
          <w:tcPr>
            <w:tcW w:w="532"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土地性质</w:t>
            </w:r>
          </w:p>
        </w:tc>
        <w:tc>
          <w:tcPr>
            <w:tcW w:w="988"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周边类比土地出让单价</w:t>
            </w:r>
          </w:p>
        </w:tc>
        <w:tc>
          <w:tcPr>
            <w:tcW w:w="836"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预计出让土地单价</w:t>
            </w:r>
          </w:p>
        </w:tc>
        <w:tc>
          <w:tcPr>
            <w:tcW w:w="912"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预计地块出让收入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046"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益阳城市学院朝阳校区</w:t>
            </w:r>
          </w:p>
        </w:tc>
        <w:tc>
          <w:tcPr>
            <w:tcW w:w="684"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292.83</w:t>
            </w:r>
          </w:p>
        </w:tc>
        <w:tc>
          <w:tcPr>
            <w:tcW w:w="532"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教育用地</w:t>
            </w:r>
          </w:p>
        </w:tc>
        <w:tc>
          <w:tcPr>
            <w:tcW w:w="988"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294.09</w:t>
            </w:r>
          </w:p>
        </w:tc>
        <w:tc>
          <w:tcPr>
            <w:tcW w:w="836"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393.55</w:t>
            </w:r>
          </w:p>
        </w:tc>
        <w:tc>
          <w:tcPr>
            <w:tcW w:w="912"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115243.13</w:t>
            </w:r>
          </w:p>
        </w:tc>
      </w:tr>
    </w:tbl>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三是该项目可持续性助推城市的发展。</w:t>
      </w:r>
    </w:p>
    <w:p>
      <w:pPr>
        <w:topLinePunct/>
        <w:ind w:firstLine="640" w:firstLineChars="200"/>
        <w:rPr>
          <w:rFonts w:hint="eastAsia" w:ascii="仿宋_GB2312" w:hAnsi="仿宋" w:eastAsia="仿宋_GB2312" w:cs="仿宋"/>
          <w:color w:val="FF0000"/>
          <w:sz w:val="32"/>
          <w:szCs w:val="32"/>
        </w:rPr>
      </w:pPr>
      <w:r>
        <w:rPr>
          <w:rFonts w:hint="eastAsia" w:ascii="仿宋_GB2312" w:hAnsi="仿宋" w:eastAsia="仿宋_GB2312" w:cs="仿宋"/>
          <w:sz w:val="32"/>
          <w:szCs w:val="32"/>
        </w:rPr>
        <w:t>建设一所规模公办中学不仅能够提高城市的文化水平，更有利于完善城市空间布局，提升城市形象；有利于整合土地资源，优化调整土地利用结构；有利于改善居民生活环境；有利于改善投资环境，带动社会资本投入。从短期来看，建设一个规模公办初中在益阳市是一个大的投资项目，必然引起经济总量的增长，也包括此项目所带来的后续或者其他周边产业的发展，例如学校建设必然会拉动交通，建筑，电力等行业的发展，在各个方面都能够给城市带来贡献，如文化、精神、创新创造、人才等等。从长远来看，一所优质的公办学校所拥有的优质教学设备、教学环境、师资水平都将形成一个城市的经济、文化的“虹吸效应”，将更进一步的吸引人口集聚，带来对城市公共服务、房地产开发、就业环境等的升级，增加更多的就业机会，对当地经济形成良性刺激，加快城镇化建设步伐，提高城市建设水平。</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六、存在的主要问题</w:t>
      </w:r>
    </w:p>
    <w:p>
      <w:pPr>
        <w:numPr>
          <w:ilvl w:val="0"/>
          <w:numId w:val="1"/>
        </w:numPr>
        <w:topLinePunct/>
        <w:ind w:firstLine="640"/>
        <w:rPr>
          <w:rFonts w:hint="eastAsia" w:ascii="楷体_GB2312" w:hAnsi="仿宋" w:eastAsia="楷体_GB2312" w:cs="仿宋"/>
          <w:sz w:val="32"/>
          <w:szCs w:val="32"/>
        </w:rPr>
      </w:pPr>
      <w:r>
        <w:rPr>
          <w:rFonts w:hint="eastAsia" w:ascii="楷体_GB2312" w:hAnsi="仿宋" w:eastAsia="楷体_GB2312" w:cs="仿宋"/>
          <w:sz w:val="32"/>
          <w:szCs w:val="32"/>
        </w:rPr>
        <w:t>专项债券项目信息不透明，信息披露不详尽。</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专项债券信息披露的内容和形式在此次评价中都没有得到具体体现，没有完整、统一、简明的信息披露指引，关键信息难以获取，投资方或债权方对信息无法掌握。地方政府债务和对应的项目信息要依法公开，接受人大社会公众监督，形成多层次的地方政府债务项目监督网络体系。项目应按照防风险要求，完善覆盖项目全周期的信息披露机制，使债务情况更加公开透明，防控债务风险。</w:t>
      </w:r>
    </w:p>
    <w:p>
      <w:pPr>
        <w:numPr>
          <w:ilvl w:val="0"/>
          <w:numId w:val="1"/>
        </w:numPr>
        <w:topLinePunct/>
        <w:ind w:firstLine="640"/>
        <w:rPr>
          <w:rFonts w:hint="eastAsia" w:ascii="楷体_GB2312" w:hAnsi="仿宋" w:eastAsia="楷体_GB2312" w:cs="仿宋"/>
          <w:sz w:val="32"/>
          <w:szCs w:val="32"/>
        </w:rPr>
      </w:pPr>
      <w:r>
        <w:rPr>
          <w:rFonts w:hint="eastAsia" w:ascii="楷体_GB2312" w:hAnsi="仿宋" w:eastAsia="楷体_GB2312" w:cs="仿宋"/>
          <w:sz w:val="32"/>
          <w:szCs w:val="32"/>
        </w:rPr>
        <w:t>该项目偿债来源不足、融资与项目收益不平衡、本息偿还困难，预期收益无法达到。</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土地出让前，项目融资还本付息资金通过土地出让金政府净收益安排。益阳城市学院朝阳校区土地项目本次计划发行债券10000万元，未来计划发行债券40282万元，应还本付息情况如下：</w:t>
      </w:r>
    </w:p>
    <w:p>
      <w:pPr>
        <w:topLinePunct/>
        <w:spacing w:line="600" w:lineRule="exact"/>
        <w:ind w:firstLine="480" w:firstLineChars="200"/>
        <w:jc w:val="right"/>
        <w:rPr>
          <w:rFonts w:ascii="仿宋" w:hAnsi="仿宋" w:eastAsia="仿宋" w:cs="仿宋"/>
          <w:sz w:val="24"/>
          <w:szCs w:val="24"/>
        </w:rPr>
      </w:pPr>
    </w:p>
    <w:p>
      <w:pPr>
        <w:topLinePunct/>
        <w:spacing w:line="600" w:lineRule="exact"/>
        <w:ind w:firstLine="480" w:firstLineChars="200"/>
        <w:jc w:val="right"/>
        <w:rPr>
          <w:rFonts w:ascii="仿宋" w:hAnsi="仿宋" w:eastAsia="仿宋" w:cs="仿宋"/>
          <w:sz w:val="24"/>
          <w:szCs w:val="24"/>
        </w:rPr>
      </w:pPr>
    </w:p>
    <w:p>
      <w:pPr>
        <w:topLinePunct/>
        <w:spacing w:line="600" w:lineRule="exact"/>
        <w:ind w:firstLine="480" w:firstLineChars="200"/>
        <w:jc w:val="right"/>
        <w:rPr>
          <w:rFonts w:ascii="仿宋" w:hAnsi="仿宋" w:eastAsia="仿宋" w:cs="仿宋"/>
          <w:sz w:val="24"/>
          <w:szCs w:val="24"/>
        </w:rPr>
      </w:pPr>
      <w:r>
        <w:rPr>
          <w:rFonts w:hint="eastAsia" w:ascii="仿宋" w:hAnsi="仿宋" w:eastAsia="仿宋" w:cs="仿宋"/>
          <w:sz w:val="24"/>
          <w:szCs w:val="24"/>
        </w:rPr>
        <w:t>单位：万元</w:t>
      </w:r>
    </w:p>
    <w:tbl>
      <w:tblPr>
        <w:tblStyle w:val="8"/>
        <w:tblW w:w="5150" w:type="pct"/>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696"/>
        <w:gridCol w:w="1238"/>
        <w:gridCol w:w="1213"/>
        <w:gridCol w:w="1220"/>
        <w:gridCol w:w="1220"/>
        <w:gridCol w:w="1220"/>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项目</w:t>
            </w:r>
          </w:p>
        </w:tc>
        <w:tc>
          <w:tcPr>
            <w:tcW w:w="396"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年度</w:t>
            </w:r>
          </w:p>
        </w:tc>
        <w:tc>
          <w:tcPr>
            <w:tcW w:w="705"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期初本金金额</w:t>
            </w:r>
          </w:p>
        </w:tc>
        <w:tc>
          <w:tcPr>
            <w:tcW w:w="691"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本期新增金额</w:t>
            </w:r>
          </w:p>
        </w:tc>
        <w:tc>
          <w:tcPr>
            <w:tcW w:w="695"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本期偿还本金</w:t>
            </w:r>
          </w:p>
        </w:tc>
        <w:tc>
          <w:tcPr>
            <w:tcW w:w="695"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期末本金余额</w:t>
            </w:r>
          </w:p>
        </w:tc>
        <w:tc>
          <w:tcPr>
            <w:tcW w:w="695"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当年偿还利息</w:t>
            </w:r>
          </w:p>
        </w:tc>
        <w:tc>
          <w:tcPr>
            <w:tcW w:w="710" w:type="pct"/>
            <w:vAlign w:val="center"/>
          </w:tcPr>
          <w:p>
            <w:pPr>
              <w:topLinePunct/>
              <w:jc w:val="center"/>
              <w:rPr>
                <w:rFonts w:ascii="仿宋" w:hAnsi="仿宋" w:eastAsia="仿宋" w:cs="仿宋"/>
                <w:sz w:val="24"/>
                <w:szCs w:val="24"/>
              </w:rPr>
            </w:pPr>
            <w:r>
              <w:rPr>
                <w:rFonts w:hint="eastAsia" w:ascii="仿宋" w:hAnsi="仿宋" w:eastAsia="仿宋" w:cs="仿宋"/>
                <w:sz w:val="24"/>
                <w:szCs w:val="24"/>
              </w:rPr>
              <w:t>当年还本付息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08" w:type="pct"/>
            <w:vMerge w:val="restart"/>
            <w:vAlign w:val="center"/>
          </w:tcPr>
          <w:p>
            <w:pPr>
              <w:topLinePunct/>
              <w:jc w:val="center"/>
              <w:rPr>
                <w:rFonts w:ascii="仿宋" w:hAnsi="仿宋" w:eastAsia="仿宋" w:cs="仿宋"/>
                <w:sz w:val="24"/>
                <w:szCs w:val="24"/>
              </w:rPr>
            </w:pPr>
            <w:r>
              <w:rPr>
                <w:rFonts w:hint="eastAsia" w:ascii="仿宋" w:hAnsi="仿宋" w:eastAsia="仿宋" w:cs="仿宋"/>
                <w:sz w:val="24"/>
                <w:szCs w:val="24"/>
              </w:rPr>
              <w:t>益阳城市学院朝阳校区</w:t>
            </w:r>
          </w:p>
        </w:tc>
        <w:tc>
          <w:tcPr>
            <w:tcW w:w="396" w:type="pct"/>
            <w:vAlign w:val="center"/>
          </w:tcPr>
          <w:p>
            <w:pPr>
              <w:topLinePunct/>
              <w:spacing w:line="600" w:lineRule="exact"/>
              <w:rPr>
                <w:rFonts w:ascii="仿宋" w:hAnsi="仿宋" w:eastAsia="仿宋" w:cs="仿宋"/>
                <w:sz w:val="24"/>
                <w:szCs w:val="24"/>
              </w:rPr>
            </w:pPr>
            <w:r>
              <w:rPr>
                <w:rFonts w:hint="eastAsia" w:ascii="仿宋" w:hAnsi="仿宋" w:eastAsia="仿宋" w:cs="仿宋"/>
                <w:sz w:val="24"/>
                <w:szCs w:val="24"/>
              </w:rPr>
              <w:t>2019</w:t>
            </w:r>
          </w:p>
        </w:tc>
        <w:tc>
          <w:tcPr>
            <w:tcW w:w="705" w:type="pct"/>
            <w:vAlign w:val="center"/>
          </w:tcPr>
          <w:p>
            <w:pPr>
              <w:topLinePunct/>
              <w:spacing w:line="600" w:lineRule="exact"/>
              <w:rPr>
                <w:rFonts w:ascii="仿宋" w:hAnsi="仿宋" w:eastAsia="仿宋" w:cs="仿宋"/>
                <w:sz w:val="24"/>
                <w:szCs w:val="24"/>
              </w:rPr>
            </w:pPr>
          </w:p>
        </w:tc>
        <w:tc>
          <w:tcPr>
            <w:tcW w:w="691" w:type="pct"/>
            <w:vAlign w:val="center"/>
          </w:tcPr>
          <w:p>
            <w:pPr>
              <w:topLinePunct/>
              <w:spacing w:line="600" w:lineRule="exact"/>
              <w:rPr>
                <w:rFonts w:ascii="仿宋" w:hAnsi="仿宋" w:eastAsia="仿宋" w:cs="仿宋"/>
                <w:sz w:val="24"/>
                <w:szCs w:val="24"/>
              </w:rPr>
            </w:pPr>
            <w:r>
              <w:rPr>
                <w:rFonts w:hint="eastAsia" w:ascii="仿宋" w:hAnsi="仿宋" w:eastAsia="仿宋" w:cs="仿宋"/>
                <w:sz w:val="24"/>
                <w:szCs w:val="24"/>
              </w:rPr>
              <w:t>10000.00</w:t>
            </w: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rPr>
                <w:rFonts w:ascii="仿宋" w:hAnsi="仿宋" w:eastAsia="仿宋" w:cs="仿宋"/>
                <w:sz w:val="24"/>
                <w:szCs w:val="24"/>
              </w:rPr>
            </w:pPr>
            <w:r>
              <w:rPr>
                <w:rFonts w:hint="eastAsia" w:ascii="仿宋" w:hAnsi="仿宋" w:eastAsia="仿宋" w:cs="仿宋"/>
                <w:sz w:val="24"/>
                <w:szCs w:val="24"/>
              </w:rPr>
              <w:t>10000.00</w:t>
            </w:r>
          </w:p>
        </w:tc>
        <w:tc>
          <w:tcPr>
            <w:tcW w:w="695" w:type="pct"/>
            <w:vAlign w:val="center"/>
          </w:tcPr>
          <w:p>
            <w:pPr>
              <w:topLinePunct/>
              <w:spacing w:line="600" w:lineRule="exact"/>
              <w:rPr>
                <w:rFonts w:ascii="仿宋" w:hAnsi="仿宋" w:eastAsia="仿宋" w:cs="仿宋"/>
                <w:sz w:val="24"/>
                <w:szCs w:val="24"/>
              </w:rPr>
            </w:pPr>
          </w:p>
        </w:tc>
        <w:tc>
          <w:tcPr>
            <w:tcW w:w="710" w:type="pct"/>
            <w:vAlign w:val="center"/>
          </w:tcPr>
          <w:p>
            <w:pPr>
              <w:topLinePunct/>
              <w:spacing w:line="6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Merge w:val="continue"/>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2020</w:t>
            </w:r>
          </w:p>
        </w:tc>
        <w:tc>
          <w:tcPr>
            <w:tcW w:w="70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10000.00</w:t>
            </w:r>
          </w:p>
        </w:tc>
        <w:tc>
          <w:tcPr>
            <w:tcW w:w="691"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40282.00</w:t>
            </w: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400.00</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Merge w:val="continue"/>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2021</w:t>
            </w:r>
          </w:p>
        </w:tc>
        <w:tc>
          <w:tcPr>
            <w:tcW w:w="70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1"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Merge w:val="continue"/>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2022</w:t>
            </w:r>
          </w:p>
        </w:tc>
        <w:tc>
          <w:tcPr>
            <w:tcW w:w="70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1"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Merge w:val="continue"/>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2023</w:t>
            </w:r>
          </w:p>
        </w:tc>
        <w:tc>
          <w:tcPr>
            <w:tcW w:w="70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1"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Merge w:val="continue"/>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2024</w:t>
            </w:r>
          </w:p>
        </w:tc>
        <w:tc>
          <w:tcPr>
            <w:tcW w:w="70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1"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10000.00</w:t>
            </w: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40282.00</w:t>
            </w: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2011.28</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12011.28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08" w:type="pct"/>
            <w:vMerge w:val="continue"/>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2025</w:t>
            </w:r>
          </w:p>
        </w:tc>
        <w:tc>
          <w:tcPr>
            <w:tcW w:w="70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40282.00</w:t>
            </w:r>
          </w:p>
        </w:tc>
        <w:tc>
          <w:tcPr>
            <w:tcW w:w="691"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40282.00</w:t>
            </w: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1611.28</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41893.28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Align w:val="center"/>
          </w:tcPr>
          <w:p>
            <w:pPr>
              <w:topLinePunct/>
              <w:spacing w:line="600" w:lineRule="exact"/>
              <w:jc w:val="center"/>
              <w:rPr>
                <w:rFonts w:ascii="仿宋" w:hAnsi="仿宋" w:eastAsia="仿宋" w:cs="仿宋"/>
                <w:sz w:val="24"/>
                <w:szCs w:val="24"/>
              </w:rPr>
            </w:pPr>
          </w:p>
        </w:tc>
        <w:tc>
          <w:tcPr>
            <w:tcW w:w="396"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合计</w:t>
            </w:r>
          </w:p>
        </w:tc>
        <w:tc>
          <w:tcPr>
            <w:tcW w:w="705" w:type="pct"/>
            <w:vAlign w:val="center"/>
          </w:tcPr>
          <w:p>
            <w:pPr>
              <w:topLinePunct/>
              <w:spacing w:line="600" w:lineRule="exact"/>
              <w:jc w:val="center"/>
              <w:rPr>
                <w:rFonts w:ascii="仿宋" w:hAnsi="仿宋" w:eastAsia="仿宋" w:cs="仿宋"/>
                <w:sz w:val="24"/>
                <w:szCs w:val="24"/>
              </w:rPr>
            </w:pPr>
          </w:p>
        </w:tc>
        <w:tc>
          <w:tcPr>
            <w:tcW w:w="691"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50282.00</w:t>
            </w:r>
          </w:p>
        </w:tc>
        <w:tc>
          <w:tcPr>
            <w:tcW w:w="695" w:type="pct"/>
            <w:vAlign w:val="center"/>
          </w:tcPr>
          <w:p>
            <w:pPr>
              <w:topLinePunct/>
              <w:spacing w:line="600" w:lineRule="exact"/>
              <w:jc w:val="center"/>
              <w:rPr>
                <w:rFonts w:ascii="仿宋" w:hAnsi="仿宋" w:eastAsia="仿宋" w:cs="仿宋"/>
                <w:sz w:val="24"/>
                <w:szCs w:val="24"/>
              </w:rPr>
            </w:pPr>
          </w:p>
        </w:tc>
        <w:tc>
          <w:tcPr>
            <w:tcW w:w="695"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10056.40</w:t>
            </w:r>
          </w:p>
        </w:tc>
        <w:tc>
          <w:tcPr>
            <w:tcW w:w="710" w:type="pct"/>
            <w:vAlign w:val="center"/>
          </w:tcPr>
          <w:p>
            <w:pPr>
              <w:topLinePunct/>
              <w:spacing w:line="600" w:lineRule="exact"/>
              <w:jc w:val="center"/>
              <w:rPr>
                <w:rFonts w:ascii="仿宋" w:hAnsi="仿宋" w:eastAsia="仿宋" w:cs="仿宋"/>
                <w:sz w:val="24"/>
                <w:szCs w:val="24"/>
              </w:rPr>
            </w:pPr>
            <w:r>
              <w:rPr>
                <w:rFonts w:hint="eastAsia" w:ascii="仿宋" w:hAnsi="仿宋" w:eastAsia="仿宋" w:cs="仿宋"/>
                <w:sz w:val="24"/>
                <w:szCs w:val="24"/>
              </w:rPr>
              <w:t>60338.40</w:t>
            </w:r>
          </w:p>
        </w:tc>
      </w:tr>
    </w:tbl>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融资成本测算方面，该土地储备项目此次计划发行债券10000万元，未来计划发行债券40282万元，假设债券利率水平为4.0%，预计到期本息为60338.40万元，该项目预计土地出让收入为115243.13万元，预计项目收益对融资成本覆盖倍数为1.91，项目收益完全可以覆盖融资成本。但时至今日该宗土地并未收储到益阳市土地储备发展中心，偿债的来源不足，项目无法产生收益，无法覆盖成本，无法支撑未来的运营，也就无法实现出让后土地出让金政府净收益用来还本付息，利息成本相对上升，预期收益滞后甚至无法达到。</w:t>
      </w:r>
    </w:p>
    <w:p>
      <w:pPr>
        <w:topLinePunct/>
        <w:ind w:firstLine="640" w:firstLineChars="200"/>
        <w:rPr>
          <w:rFonts w:hint="eastAsia" w:ascii="楷体_GB2312" w:hAnsi="仿宋" w:eastAsia="楷体_GB2312" w:cs="仿宋"/>
          <w:sz w:val="32"/>
          <w:szCs w:val="32"/>
        </w:rPr>
      </w:pPr>
      <w:r>
        <w:rPr>
          <w:rFonts w:hint="eastAsia" w:ascii="楷体_GB2312" w:hAnsi="仿宋" w:eastAsia="楷体_GB2312" w:cs="仿宋"/>
          <w:sz w:val="32"/>
          <w:szCs w:val="32"/>
        </w:rPr>
        <w:t>（三）项目管理效率有待提高，完成度、完成质量、完成时效、公众满意度较低。</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该项目2017年12月27日由益阳市国土资源局发出了《关于湖南省城市学院朝阳校区土地处置问题的函》（益国土资函</w:t>
      </w:r>
      <w:r>
        <w:rPr>
          <w:rFonts w:hint="eastAsia" w:ascii="仿宋_GB2312" w:hAnsi="仿宋" w:eastAsia="仿宋" w:cs="仿宋"/>
          <w:sz w:val="32"/>
          <w:szCs w:val="32"/>
        </w:rPr>
        <w:t>﹝</w:t>
      </w:r>
      <w:r>
        <w:rPr>
          <w:rFonts w:hint="eastAsia" w:ascii="仿宋_GB2312" w:hAnsi="仿宋" w:eastAsia="仿宋_GB2312" w:cs="仿宋"/>
          <w:sz w:val="32"/>
          <w:szCs w:val="32"/>
        </w:rPr>
        <w:t>2017</w:t>
      </w:r>
      <w:r>
        <w:rPr>
          <w:rFonts w:hint="eastAsia" w:ascii="仿宋_GB2312" w:hAnsi="仿宋" w:eastAsia="仿宋" w:cs="仿宋"/>
          <w:sz w:val="32"/>
          <w:szCs w:val="32"/>
        </w:rPr>
        <w:t>﹞</w:t>
      </w:r>
      <w:r>
        <w:rPr>
          <w:rFonts w:hint="eastAsia" w:ascii="仿宋_GB2312" w:hAnsi="仿宋" w:eastAsia="仿宋_GB2312" w:cs="仿宋"/>
          <w:sz w:val="32"/>
          <w:szCs w:val="32"/>
        </w:rPr>
        <w:t>39号）以“十三五”普通中小学用地及建设专项规划为由，拟协议有偿收回湖南银城基础建设置业有限公司名下三宗土地共计292.83亩,依合同约定分三期支付，最后一笔支付款项最终期限定于2019年1月13日，项目开工日期为2019年10月1日。在第一期价款支付后至第三期价款支付期间，湖南银城基础建设置业有限公司应配合甲方办理好国有土地使用权收回相关手续。2019年11月8日共计74131.7146万元已全部支付出去，但土地使用权收回相关手续至今未予办理，完成度、完成质量、完成时效、公众满意度低。</w:t>
      </w:r>
    </w:p>
    <w:p>
      <w:pPr>
        <w:topLinePunct/>
        <w:ind w:firstLine="640" w:firstLineChars="200"/>
        <w:rPr>
          <w:rFonts w:hint="eastAsia" w:ascii="仿宋_GB2312" w:hAnsi="仿宋" w:eastAsia="仿宋_GB2312" w:cs="仿宋"/>
          <w:sz w:val="32"/>
          <w:szCs w:val="32"/>
        </w:rPr>
      </w:pPr>
      <w:r>
        <w:rPr>
          <w:rFonts w:hint="eastAsia" w:ascii="楷体_GB2312" w:hAnsi="仿宋" w:eastAsia="楷体_GB2312" w:cs="仿宋"/>
          <w:sz w:val="32"/>
          <w:szCs w:val="32"/>
        </w:rPr>
        <w:t>（四）缺乏项目立项、执行及管理过程中的指标设计、量化评价，缺乏强有力的问责机制。</w:t>
      </w:r>
      <w:r>
        <w:rPr>
          <w:rFonts w:hint="eastAsia" w:ascii="仿宋_GB2312" w:hAnsi="仿宋" w:eastAsia="仿宋_GB2312" w:cs="仿宋"/>
          <w:sz w:val="32"/>
          <w:szCs w:val="32"/>
        </w:rPr>
        <w:t>在当前地方政府财政自给能力相对不足、存在一定道德风险背景下，此专项债券发行后用于有偿收回的土地是否属于有效利用，是否可以还本付息，是否可以有效贯彻落实债券发行目的，没有将责任压实到相关部门和个人。因为失败的项目将导致债券没有资产对应，最终会被计入赤字。在立项、执行及管理过程中没有看到相关制度建设，无完善的风险防控预案。哪个环节出现问题，资金闲置或支付后没有预期收益，后续缺乏强有力的问责机制，没有考核指标，没有通过问责形成强有力的约束。</w:t>
      </w:r>
    </w:p>
    <w:p>
      <w:pPr>
        <w:topLinePunct/>
        <w:ind w:firstLine="640" w:firstLineChars="200"/>
        <w:rPr>
          <w:rFonts w:hint="eastAsia" w:ascii="黑体" w:hAnsi="黑体" w:eastAsia="黑体" w:cs="仿宋"/>
          <w:sz w:val="32"/>
          <w:szCs w:val="32"/>
        </w:rPr>
      </w:pPr>
      <w:r>
        <w:rPr>
          <w:rFonts w:hint="eastAsia" w:ascii="黑体" w:hAnsi="黑体" w:eastAsia="黑体" w:cs="仿宋"/>
          <w:sz w:val="32"/>
          <w:szCs w:val="32"/>
        </w:rPr>
        <w:t>七、相关建议</w:t>
      </w:r>
    </w:p>
    <w:p>
      <w:pPr>
        <w:topLinePunct/>
        <w:ind w:firstLine="640" w:firstLineChars="200"/>
        <w:rPr>
          <w:rFonts w:hint="eastAsia" w:ascii="楷体_GB2312" w:hAnsi="仿宋" w:eastAsia="楷体_GB2312" w:cs="仿宋"/>
          <w:sz w:val="32"/>
          <w:szCs w:val="32"/>
        </w:rPr>
      </w:pPr>
      <w:r>
        <w:rPr>
          <w:rFonts w:hint="eastAsia" w:ascii="楷体_GB2312" w:hAnsi="仿宋" w:eastAsia="楷体_GB2312" w:cs="仿宋"/>
          <w:sz w:val="32"/>
          <w:szCs w:val="32"/>
        </w:rPr>
        <w:t>（一）加强专项债券信息披露管理，坚定不移地打造阳光债券、透明债券。</w:t>
      </w:r>
    </w:p>
    <w:p>
      <w:pPr>
        <w:topLinePun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财政部办公厅2020年4月1日下发了《关于启用地方政府新增专项债券项目信息披露模板的通知》，根据财政部国库司设计的地方政府新增专项债券信息披露模板，将投资者最关心的债券基本要素、项目融资来源、分年融资计划、分年预期收益、收益/融资覆盖倍数等项目核心信息，从繁杂的信息披露材料里提炼出来，以表格形式一目了然地展现。在债券存续期内，按照模板格式每年披露项目实际收益、项目最新预期收益等信息，如新披露的信息与上一次披露的信息差异较大，进行必要说明。专项债券项目信息披露详细，强化了市场约束，规范了专项债券项目管理，更好地促进项目收益与融资自求平衡，能有效防范专项债券风险。</w:t>
      </w:r>
    </w:p>
    <w:p>
      <w:pPr>
        <w:topLinePunct/>
        <w:ind w:firstLine="640" w:firstLineChars="200"/>
        <w:rPr>
          <w:rFonts w:hint="eastAsia" w:ascii="仿宋_GB2312" w:hAnsi="仿宋" w:eastAsia="仿宋_GB2312" w:cs="仿宋"/>
          <w:sz w:val="32"/>
          <w:szCs w:val="32"/>
        </w:rPr>
      </w:pPr>
      <w:r>
        <w:rPr>
          <w:rFonts w:hint="eastAsia" w:ascii="楷体_GB2312" w:hAnsi="仿宋" w:eastAsia="楷体_GB2312" w:cs="仿宋"/>
          <w:sz w:val="32"/>
          <w:szCs w:val="32"/>
        </w:rPr>
        <w:t>（二）构建债券专项资金分级、分类、分层次的绩效管理指标体系。</w:t>
      </w:r>
      <w:r>
        <w:rPr>
          <w:rFonts w:hint="eastAsia" w:ascii="仿宋_GB2312" w:hAnsi="仿宋" w:eastAsia="仿宋_GB2312" w:cs="仿宋"/>
          <w:sz w:val="32"/>
          <w:szCs w:val="32"/>
        </w:rPr>
        <w:t>绩效评价的指标设计要体现完整性、关键性、合理性以及操作性，建立债券专项资金绩效管理指标体系主要是事前绩效目标合理性、合规性；事中绩效及时纠错纠偏；事后绩效主要关注项目目标实现和外部效应，准确、科学、高效地利用好这部分资金。</w:t>
      </w:r>
    </w:p>
    <w:p>
      <w:pPr>
        <w:topLinePunct/>
        <w:ind w:firstLine="640" w:firstLineChars="200"/>
        <w:rPr>
          <w:rFonts w:hint="eastAsia" w:ascii="仿宋_GB2312" w:hAnsi="仿宋" w:eastAsia="仿宋_GB2312" w:cs="仿宋"/>
          <w:sz w:val="32"/>
          <w:szCs w:val="32"/>
        </w:rPr>
      </w:pPr>
      <w:r>
        <w:rPr>
          <w:rFonts w:hint="eastAsia" w:ascii="楷体_GB2312" w:hAnsi="仿宋" w:eastAsia="楷体_GB2312" w:cs="仿宋"/>
          <w:sz w:val="32"/>
          <w:szCs w:val="32"/>
        </w:rPr>
        <w:t>（三）建立健全问责机制，加强与人大、监察、审计等方面的协调配合，确保地方政府债券安全、高效。</w:t>
      </w:r>
      <w:r>
        <w:rPr>
          <w:rFonts w:hint="eastAsia" w:ascii="仿宋_GB2312" w:hAnsi="仿宋" w:eastAsia="仿宋_GB2312" w:cs="仿宋"/>
          <w:sz w:val="32"/>
          <w:szCs w:val="32"/>
        </w:rPr>
        <w:t>要通过问责形成强有力的约束，将责任压实到相关部门和个人，在当前地方政府财政自给能力相对不足、存在一定道德风险的背景下，建立健全问责机制尤其显得重要，全面绩效管理的闭环链条，贯穿于项目运行的整个生命周期，对项目的立项、建设、运营、结果的绩效做出量化评价，将债务绩效评价结果作为行政问责和追究法律责任的手段。建立健全“举债必问效、无效必问责”的政府债务资金绩效管理机制。</w:t>
      </w:r>
    </w:p>
    <w:p>
      <w:pPr>
        <w:topLinePunct/>
        <w:ind w:firstLine="640" w:firstLineChars="200"/>
        <w:rPr>
          <w:rFonts w:hint="eastAsia" w:ascii="仿宋_GB2312" w:hAnsi="仿宋" w:eastAsia="仿宋_GB2312" w:cs="仿宋"/>
          <w:sz w:val="32"/>
          <w:szCs w:val="32"/>
        </w:rPr>
      </w:pPr>
    </w:p>
    <w:p>
      <w:pPr>
        <w:topLinePunct/>
        <w:ind w:left="1598" w:leftChars="304" w:hanging="960" w:hangingChars="300"/>
        <w:rPr>
          <w:rFonts w:hint="eastAsia" w:ascii="仿宋_GB2312" w:hAnsi="仿宋" w:eastAsia="仿宋_GB2312" w:cs="仿宋"/>
          <w:sz w:val="32"/>
          <w:szCs w:val="32"/>
        </w:rPr>
      </w:pPr>
      <w:r>
        <w:rPr>
          <w:rFonts w:hint="eastAsia" w:ascii="仿宋_GB2312" w:hAnsi="仿宋" w:eastAsia="仿宋_GB2312" w:cs="仿宋"/>
          <w:sz w:val="32"/>
          <w:szCs w:val="32"/>
        </w:rPr>
        <w:t>附件：2019年湖南省（益阳市）土地储备专项债券（一期）专项资金绩效评价指标评分表</w:t>
      </w:r>
    </w:p>
    <w:p>
      <w:pPr>
        <w:topLinePunct/>
        <w:ind w:firstLine="640" w:firstLineChars="200"/>
        <w:rPr>
          <w:rFonts w:hint="eastAsia" w:ascii="仿宋_GB2312" w:hAnsi="仿宋" w:eastAsia="仿宋_GB2312" w:cs="仿宋"/>
          <w:sz w:val="32"/>
          <w:szCs w:val="32"/>
        </w:rPr>
        <w:sectPr>
          <w:headerReference r:id="rId3" w:type="default"/>
          <w:footerReference r:id="rId4" w:type="default"/>
          <w:pgSz w:w="11906" w:h="16838"/>
          <w:pgMar w:top="1712" w:right="1803" w:bottom="1440" w:left="1803" w:header="851" w:footer="992" w:gutter="0"/>
          <w:cols w:space="0" w:num="1"/>
          <w:docGrid w:type="lines" w:linePitch="319" w:charSpace="0"/>
        </w:sectPr>
      </w:pPr>
    </w:p>
    <w:tbl>
      <w:tblPr>
        <w:tblStyle w:val="7"/>
        <w:tblW w:w="5000" w:type="pct"/>
        <w:tblInd w:w="0" w:type="dxa"/>
        <w:tblLayout w:type="fixed"/>
        <w:tblCellMar>
          <w:top w:w="0" w:type="dxa"/>
          <w:left w:w="0" w:type="dxa"/>
          <w:bottom w:w="0" w:type="dxa"/>
          <w:right w:w="0" w:type="dxa"/>
        </w:tblCellMar>
      </w:tblPr>
      <w:tblGrid>
        <w:gridCol w:w="718"/>
        <w:gridCol w:w="946"/>
        <w:gridCol w:w="1297"/>
        <w:gridCol w:w="3777"/>
        <w:gridCol w:w="1135"/>
        <w:gridCol w:w="3363"/>
        <w:gridCol w:w="1801"/>
        <w:gridCol w:w="669"/>
      </w:tblGrid>
      <w:tr>
        <w:tblPrEx>
          <w:tblCellMar>
            <w:top w:w="0" w:type="dxa"/>
            <w:left w:w="0" w:type="dxa"/>
            <w:bottom w:w="0" w:type="dxa"/>
            <w:right w:w="0" w:type="dxa"/>
          </w:tblCellMar>
        </w:tblPrEx>
        <w:trPr>
          <w:trHeight w:val="505" w:hRule="atLeast"/>
        </w:trPr>
        <w:tc>
          <w:tcPr>
            <w:tcW w:w="5000" w:type="pct"/>
            <w:gridSpan w:val="8"/>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hint="eastAsia" w:ascii="方正小标宋简体" w:hAnsi="宋体" w:eastAsia="方正小标宋简体" w:cs="宋体"/>
                <w:color w:val="000000"/>
                <w:sz w:val="36"/>
                <w:szCs w:val="36"/>
              </w:rPr>
            </w:pPr>
            <w:r>
              <w:rPr>
                <w:rFonts w:hint="eastAsia" w:ascii="方正小标宋简体" w:hAnsi="宋体" w:eastAsia="方正小标宋简体" w:cs="宋体"/>
                <w:color w:val="000000"/>
                <w:kern w:val="0"/>
                <w:sz w:val="36"/>
                <w:szCs w:val="36"/>
              </w:rPr>
              <w:t>2019年湖南省（益阳市）土地储备专项债券（一期）资金绩效评价指标评分表</w:t>
            </w:r>
          </w:p>
        </w:tc>
      </w:tr>
      <w:tr>
        <w:tblPrEx>
          <w:tblCellMar>
            <w:top w:w="0" w:type="dxa"/>
            <w:left w:w="0" w:type="dxa"/>
            <w:bottom w:w="0" w:type="dxa"/>
            <w:right w:w="0" w:type="dxa"/>
          </w:tblCellMar>
        </w:tblPrEx>
        <w:trPr>
          <w:trHeight w:val="500" w:hRule="atLeast"/>
        </w:trPr>
        <w:tc>
          <w:tcPr>
            <w:tcW w:w="26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一级</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二级</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宋体" w:hAnsi="宋体" w:cs="宋体"/>
                <w:color w:val="000000"/>
                <w:kern w:val="0"/>
                <w:sz w:val="20"/>
                <w:szCs w:val="20"/>
              </w:rPr>
            </w:pPr>
            <w:r>
              <w:rPr>
                <w:rFonts w:hint="eastAsia" w:ascii="宋体" w:hAnsi="宋体" w:cs="宋体"/>
                <w:color w:val="000000"/>
                <w:kern w:val="0"/>
                <w:sz w:val="20"/>
                <w:szCs w:val="20"/>
              </w:rPr>
              <w:t>三级</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具体指标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 值</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计分标准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须需提供的资料</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得分</w:t>
            </w:r>
          </w:p>
        </w:tc>
      </w:tr>
      <w:tr>
        <w:tblPrEx>
          <w:tblCellMar>
            <w:top w:w="0" w:type="dxa"/>
            <w:left w:w="0" w:type="dxa"/>
            <w:bottom w:w="0" w:type="dxa"/>
            <w:right w:w="0" w:type="dxa"/>
          </w:tblCellMar>
        </w:tblPrEx>
        <w:trPr>
          <w:trHeight w:val="780" w:hRule="atLeast"/>
        </w:trPr>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项目决策（10分）</w:t>
            </w:r>
          </w:p>
        </w:tc>
        <w:tc>
          <w:tcPr>
            <w:tcW w:w="3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项目前期</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开展调研论证</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开展调研论证，制定工作规划。</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制定了工作规划，且内容完整、目标明确、有较强的操作性的，计0—2分。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项目工作规划，项目建议书或可行性研究报告。</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r>
      <w:tr>
        <w:tblPrEx>
          <w:tblCellMar>
            <w:top w:w="0" w:type="dxa"/>
            <w:left w:w="0" w:type="dxa"/>
            <w:bottom w:w="0" w:type="dxa"/>
            <w:right w:w="0" w:type="dxa"/>
          </w:tblCellMar>
        </w:tblPrEx>
        <w:trPr>
          <w:trHeight w:val="92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项目目标</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目标内容</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设立了项目绩效目标；目标明确及目标细化；目标量化。</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①设立了项目绩效目标计0—2分，②目标明确计0—2分，目标细化计0—2分，③目标量化计0—2分。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绩效目标及相关资料。</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tblPrEx>
          <w:tblCellMar>
            <w:top w:w="0" w:type="dxa"/>
            <w:left w:w="0" w:type="dxa"/>
            <w:bottom w:w="0" w:type="dxa"/>
            <w:right w:w="0" w:type="dxa"/>
          </w:tblCellMar>
        </w:tblPrEx>
        <w:trPr>
          <w:trHeight w:val="84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决策程序</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决策依据</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项目设立依据。</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项目符合相关法律法规、政策文件、政府规划、部门计划或实际需要的，计0—2分。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相关法律法规、政策文件、政府规划、部门计划等。</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r>
      <w:tr>
        <w:tblPrEx>
          <w:tblCellMar>
            <w:top w:w="0" w:type="dxa"/>
            <w:left w:w="0" w:type="dxa"/>
            <w:bottom w:w="0" w:type="dxa"/>
            <w:right w:w="0" w:type="dxa"/>
          </w:tblCellMar>
        </w:tblPrEx>
        <w:trPr>
          <w:trHeight w:val="740" w:hRule="atLeast"/>
        </w:trPr>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项目管理（42分）</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财务管理</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资金到位率</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实际到位/计划到位*100%</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资金实际到位率达100%的，计4分，每降低5%，扣0.5分，扣完为止。</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账本、凭证等资料。</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tblPrEx>
          <w:tblCellMar>
            <w:top w:w="0" w:type="dxa"/>
            <w:left w:w="0" w:type="dxa"/>
            <w:bottom w:w="0" w:type="dxa"/>
            <w:right w:w="0" w:type="dxa"/>
          </w:tblCellMar>
        </w:tblPrEx>
        <w:trPr>
          <w:trHeight w:val="104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到位时效</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资金是否及时到位，是否影响项目进度。</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 资金及时到位的，计4分；②资金未及时到位，但未影响项目进度 扣1分；③资金未及时到位，并影响项目进度的，扣2分。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查看账本、凭证等资料、咨询项目单位。</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r>
      <w:tr>
        <w:tblPrEx>
          <w:tblCellMar>
            <w:top w:w="0" w:type="dxa"/>
            <w:left w:w="0" w:type="dxa"/>
            <w:bottom w:w="0" w:type="dxa"/>
            <w:right w:w="0" w:type="dxa"/>
          </w:tblCellMar>
        </w:tblPrEx>
        <w:trPr>
          <w:trHeight w:val="52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资金使用</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专款专用，严禁挤占、截留、挪用专项资金，资金使用合规。</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资金使用合规，无挤占、截留、挪用的，计0—10分。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查看账务等相关资料。</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r>
      <w:tr>
        <w:tblPrEx>
          <w:tblCellMar>
            <w:top w:w="0" w:type="dxa"/>
            <w:left w:w="0" w:type="dxa"/>
            <w:bottom w:w="0" w:type="dxa"/>
            <w:right w:w="0" w:type="dxa"/>
          </w:tblCellMar>
        </w:tblPrEx>
        <w:trPr>
          <w:trHeight w:val="78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财务管理</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专项资金单独列支，财务核算、资产管理规范，资料齐全。</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①支出单独列支的，计2分；②票据合法合规、手续完善、财务核算规范的，计0—6分；③资料齐全的，计0—2分。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查看账务等相关资料。</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r>
      <w:tr>
        <w:tblPrEx>
          <w:tblCellMar>
            <w:top w:w="0" w:type="dxa"/>
            <w:left w:w="0" w:type="dxa"/>
            <w:bottom w:w="0" w:type="dxa"/>
            <w:right w:w="0" w:type="dxa"/>
          </w:tblCellMar>
        </w:tblPrEx>
        <w:trPr>
          <w:trHeight w:val="84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组织实施</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组织机构</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机构健全、分工明确.</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 组织机构健全的计0—2分；②分工明确的计0—2分。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组织机构文件、职责分工。</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tblPrEx>
          <w:tblCellMar>
            <w:top w:w="0" w:type="dxa"/>
            <w:left w:w="0" w:type="dxa"/>
            <w:bottom w:w="0" w:type="dxa"/>
            <w:right w:w="0" w:type="dxa"/>
          </w:tblCellMar>
        </w:tblPrEx>
        <w:trPr>
          <w:trHeight w:val="78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制度制定</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制定了专项资金管理方案（含项目实施、资金管理）</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 制定了专项资金管理方案的，计0—2分；②制度内容完整、程序合规、操作性强的，计0—2分。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项目建设实施方案、专项资金管理制度等。</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tblPrEx>
          <w:tblCellMar>
            <w:top w:w="0" w:type="dxa"/>
            <w:left w:w="0" w:type="dxa"/>
            <w:bottom w:w="0" w:type="dxa"/>
            <w:right w:w="0" w:type="dxa"/>
          </w:tblCellMar>
        </w:tblPrEx>
        <w:trPr>
          <w:trHeight w:val="158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制度执行有效性</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项目实施是否符合相关业务管理规定，用以反映和考核业务管理制度的有效执行情况。</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①项目遵守相关法律法规和业务管理规定，计0-2分；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②项目调整及支出调整手续完备，计0-2分；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③项目合同书、验收报告、技术鉴定等资料齐全并及时归档，计2分；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项目相关资料</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r>
      <w:tr>
        <w:tblPrEx>
          <w:tblCellMar>
            <w:top w:w="0" w:type="dxa"/>
            <w:left w:w="0" w:type="dxa"/>
            <w:bottom w:w="0" w:type="dxa"/>
            <w:right w:w="0" w:type="dxa"/>
          </w:tblCellMar>
        </w:tblPrEx>
        <w:trPr>
          <w:trHeight w:val="1620" w:hRule="atLeast"/>
        </w:trPr>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项目绩效（48分）</w:t>
            </w:r>
          </w:p>
        </w:tc>
        <w:tc>
          <w:tcPr>
            <w:tcW w:w="3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产出数量</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实际完成率</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实际完成率=（实际产出数/计划产出数）×100%。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实际产出数：一定时期（本年度或项目期）内项目实际产出的产品或提供的服务数量。</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计划产出：项目绩效目标确定的在一定时期（本年度或项目期）内计划产出的产品或提供的服务数量</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预算年度或项目期内实际完成率为100%的，得满分；以实际完成率100%为基数，每少10%扣1分；实际完成率不足50%的，本项得分为0。</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查阅相关记录</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r>
      <w:tr>
        <w:tblPrEx>
          <w:tblCellMar>
            <w:top w:w="0" w:type="dxa"/>
            <w:left w:w="0" w:type="dxa"/>
            <w:bottom w:w="0" w:type="dxa"/>
            <w:right w:w="0" w:type="dxa"/>
          </w:tblCellMar>
        </w:tblPrEx>
        <w:trPr>
          <w:trHeight w:val="196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产出质量</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完成及时率</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完成及时率=[（计划完成时间-实际完成时间）/计划完成时间]×100%。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实际完成时间：项目实施单位完成该项目实际所耗用的时间。</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计划完成时间：按照项目实施计划或相关规定完成该项目所需的时间。</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完成及时率＞0的，得满分；完成及时率〈0，每低5%的，扣1分，直至扣完本项分值。</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查阅相关记录</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r>
      <w:tr>
        <w:tblPrEx>
          <w:tblCellMar>
            <w:top w:w="0" w:type="dxa"/>
            <w:left w:w="0" w:type="dxa"/>
            <w:bottom w:w="0" w:type="dxa"/>
            <w:right w:w="0" w:type="dxa"/>
          </w:tblCellMar>
        </w:tblPrEx>
        <w:trPr>
          <w:trHeight w:val="200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质量达标率</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质量达标率=（质量达标产出数/实际产出数）×100%。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质量达标产出数：一定时期（本年度或项目期）内实际达到既定质量标准的产品或服务数量。</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既定质量标准是指项目实施单位设立绩效目标时依据计划标准、行业标准、历史标准或其他标准而设定的绩效指标值。</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质量达标率为100%的，得满分；每低5%的，扣1分，直至扣完本项分值。</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查看记录，实地调查。</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r>
      <w:tr>
        <w:tblPrEx>
          <w:tblCellMar>
            <w:top w:w="0" w:type="dxa"/>
            <w:left w:w="0" w:type="dxa"/>
            <w:bottom w:w="0" w:type="dxa"/>
            <w:right w:w="0" w:type="dxa"/>
          </w:tblCellMar>
        </w:tblPrEx>
        <w:trPr>
          <w:trHeight w:val="72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w:t>
            </w: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项目实施对社会发展所带来的直接或间接影响情况。</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122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rPr>
              <w:t>根据实际情况及调查问卷等酌情扣分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开展实际调查</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r>
      <w:tr>
        <w:tblPrEx>
          <w:tblCellMar>
            <w:top w:w="0" w:type="dxa"/>
            <w:left w:w="0" w:type="dxa"/>
            <w:bottom w:w="0" w:type="dxa"/>
            <w:right w:w="0" w:type="dxa"/>
          </w:tblCellMar>
        </w:tblPrEx>
        <w:trPr>
          <w:trHeight w:val="50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项目实施对经济发展所带来的直接或间接影响情况。</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122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rPr>
              <w:t>根据实际情况及调查问卷等酌情扣分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开展问卷调查</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r>
      <w:tr>
        <w:tblPrEx>
          <w:tblCellMar>
            <w:top w:w="0" w:type="dxa"/>
            <w:left w:w="0" w:type="dxa"/>
            <w:bottom w:w="0" w:type="dxa"/>
            <w:right w:w="0" w:type="dxa"/>
          </w:tblCellMar>
        </w:tblPrEx>
        <w:trPr>
          <w:trHeight w:val="66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可持续影响</w:t>
            </w: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项目后续运行及成效发挥的可持续影响情况。</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122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rPr>
              <w:t>根据实际情况及调查问卷等酌情扣分</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开展问卷调查</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r>
      <w:tr>
        <w:tblPrEx>
          <w:tblCellMar>
            <w:top w:w="0" w:type="dxa"/>
            <w:left w:w="0" w:type="dxa"/>
            <w:bottom w:w="0" w:type="dxa"/>
            <w:right w:w="0" w:type="dxa"/>
          </w:tblCellMar>
        </w:tblPrEx>
        <w:trPr>
          <w:trHeight w:val="520" w:hRule="atLeast"/>
        </w:trPr>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群众满意度</w:t>
            </w:r>
          </w:p>
        </w:tc>
        <w:tc>
          <w:tcPr>
            <w:tcW w:w="137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rPr>
              <w:t>社会公众或服务对象对项目实施效果的满意程度。</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达85%以上得满分，每下降5%扣1分，扣完为止。</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开展问卷调查</w:t>
            </w:r>
          </w:p>
        </w:tc>
        <w:tc>
          <w:tcPr>
            <w:tcW w:w="24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r>
      <w:tr>
        <w:tblPrEx>
          <w:tblCellMar>
            <w:top w:w="0" w:type="dxa"/>
            <w:left w:w="0" w:type="dxa"/>
            <w:bottom w:w="0" w:type="dxa"/>
            <w:right w:w="0" w:type="dxa"/>
          </w:tblCellMar>
        </w:tblPrEx>
        <w:trPr>
          <w:trHeight w:val="420" w:hRule="atLeast"/>
        </w:trPr>
        <w:tc>
          <w:tcPr>
            <w:tcW w:w="26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总分</w:t>
            </w:r>
          </w:p>
        </w:tc>
        <w:tc>
          <w:tcPr>
            <w:tcW w:w="3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1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22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20"/>
                <w:szCs w:val="20"/>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74</w:t>
            </w:r>
          </w:p>
        </w:tc>
      </w:tr>
    </w:tbl>
    <w:p>
      <w:pPr>
        <w:pStyle w:val="20"/>
        <w:spacing w:line="400" w:lineRule="exact"/>
        <w:ind w:firstLine="0" w:firstLineChars="0"/>
        <w:rPr>
          <w:rFonts w:ascii="仿宋" w:hAnsi="仿宋" w:eastAsia="仿宋" w:cs="仿宋"/>
          <w:spacing w:val="16"/>
          <w:sz w:val="32"/>
          <w:szCs w:val="32"/>
        </w:rPr>
      </w:pPr>
    </w:p>
    <w:sectPr>
      <w:pgSz w:w="16838" w:h="11906" w:orient="landscape"/>
      <w:pgMar w:top="1803" w:right="1712"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Fonts w:cs="Calibri"/>
      </w:rPr>
      <w:fldChar w:fldCharType="begin"/>
    </w:r>
    <w:r>
      <w:rPr>
        <w:rStyle w:val="10"/>
        <w:rFonts w:cs="Calibri"/>
      </w:rPr>
      <w:instrText xml:space="preserve">PAGE  </w:instrText>
    </w:r>
    <w:r>
      <w:rPr>
        <w:rStyle w:val="10"/>
        <w:rFonts w:cs="Calibri"/>
      </w:rPr>
      <w:fldChar w:fldCharType="separate"/>
    </w:r>
    <w:r>
      <w:rPr>
        <w:rStyle w:val="10"/>
        <w:rFonts w:cs="Calibri"/>
      </w:rPr>
      <w:t>15</w:t>
    </w:r>
    <w:r>
      <w:rPr>
        <w:rStyle w:val="10"/>
        <w:rFonts w:cs="Calibri"/>
      </w:rPr>
      <w:fldChar w:fldCharType="end"/>
    </w:r>
  </w:p>
  <w:p>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B6E20"/>
    <w:multiLevelType w:val="singleLevel"/>
    <w:tmpl w:val="59DB6E2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oNotHyphenateCaps/>
  <w:drawingGridVerticalSpacing w:val="159"/>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D6DAF"/>
    <w:rsid w:val="00020BEE"/>
    <w:rsid w:val="00026036"/>
    <w:rsid w:val="000304A4"/>
    <w:rsid w:val="0003717A"/>
    <w:rsid w:val="000502EB"/>
    <w:rsid w:val="00060614"/>
    <w:rsid w:val="00062D31"/>
    <w:rsid w:val="000966B7"/>
    <w:rsid w:val="000D2F40"/>
    <w:rsid w:val="000F3116"/>
    <w:rsid w:val="000F68D6"/>
    <w:rsid w:val="00124B92"/>
    <w:rsid w:val="00157746"/>
    <w:rsid w:val="00172F0F"/>
    <w:rsid w:val="00174BD2"/>
    <w:rsid w:val="001863A8"/>
    <w:rsid w:val="001C2A7B"/>
    <w:rsid w:val="001D51FB"/>
    <w:rsid w:val="001E4835"/>
    <w:rsid w:val="001E6A5F"/>
    <w:rsid w:val="00212350"/>
    <w:rsid w:val="00214BA7"/>
    <w:rsid w:val="0022127B"/>
    <w:rsid w:val="0022330B"/>
    <w:rsid w:val="0024254A"/>
    <w:rsid w:val="002502C6"/>
    <w:rsid w:val="00250D10"/>
    <w:rsid w:val="00267735"/>
    <w:rsid w:val="00280E7D"/>
    <w:rsid w:val="002A53E2"/>
    <w:rsid w:val="002C19FB"/>
    <w:rsid w:val="002C2062"/>
    <w:rsid w:val="002D1F54"/>
    <w:rsid w:val="002D4F22"/>
    <w:rsid w:val="002D6020"/>
    <w:rsid w:val="002D6DAF"/>
    <w:rsid w:val="002D70EF"/>
    <w:rsid w:val="002E12A4"/>
    <w:rsid w:val="002F44B7"/>
    <w:rsid w:val="00314F2B"/>
    <w:rsid w:val="0034177C"/>
    <w:rsid w:val="00341B08"/>
    <w:rsid w:val="003427D9"/>
    <w:rsid w:val="00366230"/>
    <w:rsid w:val="00367CE7"/>
    <w:rsid w:val="00386A88"/>
    <w:rsid w:val="003A0FF9"/>
    <w:rsid w:val="003A29F7"/>
    <w:rsid w:val="003B5436"/>
    <w:rsid w:val="003D7CA0"/>
    <w:rsid w:val="003E17B7"/>
    <w:rsid w:val="003F43F5"/>
    <w:rsid w:val="004126A3"/>
    <w:rsid w:val="00417E78"/>
    <w:rsid w:val="00427CC5"/>
    <w:rsid w:val="00440F39"/>
    <w:rsid w:val="004611C5"/>
    <w:rsid w:val="00461544"/>
    <w:rsid w:val="00461D0F"/>
    <w:rsid w:val="00473772"/>
    <w:rsid w:val="00477770"/>
    <w:rsid w:val="00477B40"/>
    <w:rsid w:val="0048035C"/>
    <w:rsid w:val="004948D0"/>
    <w:rsid w:val="004A51FC"/>
    <w:rsid w:val="004B0D96"/>
    <w:rsid w:val="004D0C89"/>
    <w:rsid w:val="004E53FA"/>
    <w:rsid w:val="005467F0"/>
    <w:rsid w:val="00567DA2"/>
    <w:rsid w:val="005B3509"/>
    <w:rsid w:val="005B6A07"/>
    <w:rsid w:val="005C0F91"/>
    <w:rsid w:val="005C44D4"/>
    <w:rsid w:val="005C688D"/>
    <w:rsid w:val="005E5A8C"/>
    <w:rsid w:val="005E6EAC"/>
    <w:rsid w:val="005E714E"/>
    <w:rsid w:val="005F7B7F"/>
    <w:rsid w:val="006061D0"/>
    <w:rsid w:val="006069B1"/>
    <w:rsid w:val="00616DF2"/>
    <w:rsid w:val="00620996"/>
    <w:rsid w:val="006255AD"/>
    <w:rsid w:val="0062726F"/>
    <w:rsid w:val="00627DDE"/>
    <w:rsid w:val="00636946"/>
    <w:rsid w:val="0064219E"/>
    <w:rsid w:val="00643046"/>
    <w:rsid w:val="006C22EE"/>
    <w:rsid w:val="006D0BC2"/>
    <w:rsid w:val="006E74B3"/>
    <w:rsid w:val="006F0646"/>
    <w:rsid w:val="006F2EAB"/>
    <w:rsid w:val="00724F49"/>
    <w:rsid w:val="00743CF2"/>
    <w:rsid w:val="007600FD"/>
    <w:rsid w:val="00762DFA"/>
    <w:rsid w:val="00766A67"/>
    <w:rsid w:val="00776A48"/>
    <w:rsid w:val="007859BE"/>
    <w:rsid w:val="007B5105"/>
    <w:rsid w:val="007B5C65"/>
    <w:rsid w:val="007C0FB6"/>
    <w:rsid w:val="007C1B98"/>
    <w:rsid w:val="007F3A3E"/>
    <w:rsid w:val="00803D8B"/>
    <w:rsid w:val="00805D9B"/>
    <w:rsid w:val="008340BC"/>
    <w:rsid w:val="0083709D"/>
    <w:rsid w:val="00856A83"/>
    <w:rsid w:val="0086609B"/>
    <w:rsid w:val="008833CF"/>
    <w:rsid w:val="00893997"/>
    <w:rsid w:val="00895B96"/>
    <w:rsid w:val="008B6C8E"/>
    <w:rsid w:val="008C37A2"/>
    <w:rsid w:val="008C474E"/>
    <w:rsid w:val="008E0434"/>
    <w:rsid w:val="009166FD"/>
    <w:rsid w:val="009440E0"/>
    <w:rsid w:val="009635D2"/>
    <w:rsid w:val="00980221"/>
    <w:rsid w:val="00980BE5"/>
    <w:rsid w:val="009C6028"/>
    <w:rsid w:val="009E0E67"/>
    <w:rsid w:val="009F2BEF"/>
    <w:rsid w:val="00A20D93"/>
    <w:rsid w:val="00A221D2"/>
    <w:rsid w:val="00A365C0"/>
    <w:rsid w:val="00A40BE5"/>
    <w:rsid w:val="00A54407"/>
    <w:rsid w:val="00A724CF"/>
    <w:rsid w:val="00A854F7"/>
    <w:rsid w:val="00A874D3"/>
    <w:rsid w:val="00A939F9"/>
    <w:rsid w:val="00A9559A"/>
    <w:rsid w:val="00AA024B"/>
    <w:rsid w:val="00AD6D0E"/>
    <w:rsid w:val="00AE036F"/>
    <w:rsid w:val="00AF7C13"/>
    <w:rsid w:val="00B04527"/>
    <w:rsid w:val="00B13E90"/>
    <w:rsid w:val="00B202F7"/>
    <w:rsid w:val="00B213A0"/>
    <w:rsid w:val="00B23D9A"/>
    <w:rsid w:val="00B446C7"/>
    <w:rsid w:val="00B6492B"/>
    <w:rsid w:val="00B6556A"/>
    <w:rsid w:val="00B65B00"/>
    <w:rsid w:val="00BA60EA"/>
    <w:rsid w:val="00BB5426"/>
    <w:rsid w:val="00BB7575"/>
    <w:rsid w:val="00BF4678"/>
    <w:rsid w:val="00C133FA"/>
    <w:rsid w:val="00C14E17"/>
    <w:rsid w:val="00C22B56"/>
    <w:rsid w:val="00C5135B"/>
    <w:rsid w:val="00C61850"/>
    <w:rsid w:val="00C90A06"/>
    <w:rsid w:val="00C91585"/>
    <w:rsid w:val="00C970F9"/>
    <w:rsid w:val="00CD26C2"/>
    <w:rsid w:val="00CE6B25"/>
    <w:rsid w:val="00D26DCD"/>
    <w:rsid w:val="00D35723"/>
    <w:rsid w:val="00D47701"/>
    <w:rsid w:val="00D50A15"/>
    <w:rsid w:val="00D54F3E"/>
    <w:rsid w:val="00D562C9"/>
    <w:rsid w:val="00D67F8A"/>
    <w:rsid w:val="00D75BA6"/>
    <w:rsid w:val="00D8788B"/>
    <w:rsid w:val="00DA10F6"/>
    <w:rsid w:val="00DA606A"/>
    <w:rsid w:val="00DB0EFE"/>
    <w:rsid w:val="00DE7244"/>
    <w:rsid w:val="00E055AF"/>
    <w:rsid w:val="00E25312"/>
    <w:rsid w:val="00E274F9"/>
    <w:rsid w:val="00E30629"/>
    <w:rsid w:val="00E54143"/>
    <w:rsid w:val="00E605A8"/>
    <w:rsid w:val="00E66B7C"/>
    <w:rsid w:val="00E6723C"/>
    <w:rsid w:val="00E733BC"/>
    <w:rsid w:val="00E83CB8"/>
    <w:rsid w:val="00EA2D16"/>
    <w:rsid w:val="00EC1D1B"/>
    <w:rsid w:val="00EE27DC"/>
    <w:rsid w:val="00EF7705"/>
    <w:rsid w:val="00F21819"/>
    <w:rsid w:val="00F3435D"/>
    <w:rsid w:val="00F37BE5"/>
    <w:rsid w:val="00F46531"/>
    <w:rsid w:val="00F474E4"/>
    <w:rsid w:val="00F54583"/>
    <w:rsid w:val="00F8187A"/>
    <w:rsid w:val="00F838C4"/>
    <w:rsid w:val="00FB2F27"/>
    <w:rsid w:val="00FD27CC"/>
    <w:rsid w:val="00FD49B9"/>
    <w:rsid w:val="04546778"/>
    <w:rsid w:val="04F8491A"/>
    <w:rsid w:val="05E06395"/>
    <w:rsid w:val="08F34217"/>
    <w:rsid w:val="0D1115E4"/>
    <w:rsid w:val="12D8261E"/>
    <w:rsid w:val="16383C44"/>
    <w:rsid w:val="22406D84"/>
    <w:rsid w:val="24DD5737"/>
    <w:rsid w:val="31FA5986"/>
    <w:rsid w:val="3AB032B0"/>
    <w:rsid w:val="3E30245C"/>
    <w:rsid w:val="3EE01594"/>
    <w:rsid w:val="3FE647F5"/>
    <w:rsid w:val="41C64172"/>
    <w:rsid w:val="465D16AD"/>
    <w:rsid w:val="47843923"/>
    <w:rsid w:val="494A239B"/>
    <w:rsid w:val="4C5240D6"/>
    <w:rsid w:val="57B3191D"/>
    <w:rsid w:val="5A311DB8"/>
    <w:rsid w:val="60A044D6"/>
    <w:rsid w:val="6A2A7555"/>
    <w:rsid w:val="6E4865DB"/>
    <w:rsid w:val="6ECC4288"/>
    <w:rsid w:val="740B2C95"/>
    <w:rsid w:val="75BA6385"/>
    <w:rsid w:val="76891469"/>
    <w:rsid w:val="79B77CFF"/>
    <w:rsid w:val="7BE60E0F"/>
    <w:rsid w:val="7D2C2C6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qFormat/>
    <w:uiPriority w:val="99"/>
    <w:pPr>
      <w:ind w:left="100" w:leftChars="2500"/>
    </w:pPr>
  </w:style>
  <w:style w:type="paragraph" w:styleId="3">
    <w:name w:val="Balloon Text"/>
    <w:basedOn w:val="1"/>
    <w:link w:val="17"/>
    <w:semiHidden/>
    <w:qFormat/>
    <w:uiPriority w:val="99"/>
    <w:rPr>
      <w:sz w:val="18"/>
      <w:szCs w:val="18"/>
    </w:rPr>
  </w:style>
  <w:style w:type="paragraph" w:styleId="4">
    <w:name w:val="footer"/>
    <w:basedOn w:val="1"/>
    <w:link w:val="18"/>
    <w:semiHidden/>
    <w:qFormat/>
    <w:uiPriority w:val="99"/>
    <w:pPr>
      <w:tabs>
        <w:tab w:val="center" w:pos="4153"/>
        <w:tab w:val="right" w:pos="8306"/>
      </w:tabs>
      <w:snapToGrid w:val="0"/>
      <w:jc w:val="left"/>
    </w:pPr>
    <w:rPr>
      <w:sz w:val="18"/>
      <w:szCs w:val="18"/>
    </w:rPr>
  </w:style>
  <w:style w:type="paragraph" w:styleId="5">
    <w:name w:val="header"/>
    <w:basedOn w:val="1"/>
    <w:link w:val="19"/>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styleId="11">
    <w:name w:val="FollowedHyperlink"/>
    <w:basedOn w:val="9"/>
    <w:unhideWhenUsed/>
    <w:qFormat/>
    <w:uiPriority w:val="99"/>
    <w:rPr>
      <w:color w:val="800080"/>
      <w:u w:val="none"/>
    </w:rPr>
  </w:style>
  <w:style w:type="character" w:styleId="12">
    <w:name w:val="Emphasis"/>
    <w:basedOn w:val="9"/>
    <w:qFormat/>
    <w:locked/>
    <w:uiPriority w:val="0"/>
    <w:rPr>
      <w:rFonts w:ascii="宋体" w:hAnsi="宋体" w:eastAsia="宋体" w:cs="宋体"/>
      <w:sz w:val="18"/>
      <w:szCs w:val="18"/>
    </w:rPr>
  </w:style>
  <w:style w:type="character" w:styleId="13">
    <w:name w:val="Hyperlink"/>
    <w:basedOn w:val="9"/>
    <w:unhideWhenUsed/>
    <w:qFormat/>
    <w:uiPriority w:val="99"/>
    <w:rPr>
      <w:color w:val="0000FF"/>
      <w:u w:val="none"/>
    </w:rPr>
  </w:style>
  <w:style w:type="character" w:styleId="14">
    <w:name w:val="HTML Code"/>
    <w:basedOn w:val="9"/>
    <w:unhideWhenUsed/>
    <w:qFormat/>
    <w:uiPriority w:val="99"/>
    <w:rPr>
      <w:rFonts w:ascii="宋体" w:hAnsi="宋体" w:eastAsia="宋体" w:cs="宋体"/>
      <w:sz w:val="18"/>
      <w:szCs w:val="18"/>
    </w:rPr>
  </w:style>
  <w:style w:type="character" w:styleId="15">
    <w:name w:val="HTML Cite"/>
    <w:basedOn w:val="9"/>
    <w:unhideWhenUsed/>
    <w:qFormat/>
    <w:uiPriority w:val="99"/>
    <w:rPr>
      <w:rFonts w:ascii="宋体" w:hAnsi="宋体" w:eastAsia="宋体" w:cs="宋体"/>
      <w:sz w:val="18"/>
      <w:szCs w:val="18"/>
    </w:rPr>
  </w:style>
  <w:style w:type="character" w:customStyle="1" w:styleId="16">
    <w:name w:val="日期 Char"/>
    <w:basedOn w:val="9"/>
    <w:link w:val="2"/>
    <w:semiHidden/>
    <w:qFormat/>
    <w:locked/>
    <w:uiPriority w:val="99"/>
    <w:rPr>
      <w:rFonts w:cs="Times New Roman"/>
    </w:rPr>
  </w:style>
  <w:style w:type="character" w:customStyle="1" w:styleId="17">
    <w:name w:val="批注框文本 Char"/>
    <w:basedOn w:val="9"/>
    <w:link w:val="3"/>
    <w:semiHidden/>
    <w:qFormat/>
    <w:locked/>
    <w:uiPriority w:val="99"/>
    <w:rPr>
      <w:rFonts w:cs="Times New Roman"/>
      <w:sz w:val="18"/>
      <w:szCs w:val="18"/>
    </w:rPr>
  </w:style>
  <w:style w:type="character" w:customStyle="1" w:styleId="18">
    <w:name w:val="页脚 Char"/>
    <w:basedOn w:val="9"/>
    <w:link w:val="4"/>
    <w:semiHidden/>
    <w:qFormat/>
    <w:locked/>
    <w:uiPriority w:val="99"/>
    <w:rPr>
      <w:rFonts w:cs="Times New Roman"/>
      <w:sz w:val="18"/>
      <w:szCs w:val="18"/>
    </w:rPr>
  </w:style>
  <w:style w:type="character" w:customStyle="1" w:styleId="19">
    <w:name w:val="页眉 Char"/>
    <w:basedOn w:val="9"/>
    <w:link w:val="5"/>
    <w:semiHidden/>
    <w:qFormat/>
    <w:locked/>
    <w:uiPriority w:val="99"/>
    <w:rPr>
      <w:rFonts w:cs="Times New Roman"/>
      <w:sz w:val="18"/>
      <w:szCs w:val="18"/>
    </w:rPr>
  </w:style>
  <w:style w:type="paragraph" w:customStyle="1" w:styleId="20">
    <w:name w:val="List Paragraph1"/>
    <w:basedOn w:val="1"/>
    <w:qFormat/>
    <w:uiPriority w:val="99"/>
    <w:pPr>
      <w:ind w:firstLine="420" w:firstLineChars="200"/>
    </w:pPr>
  </w:style>
  <w:style w:type="paragraph" w:customStyle="1" w:styleId="21">
    <w:name w:val="char"/>
    <w:basedOn w:val="1"/>
    <w:qFormat/>
    <w:uiPriority w:val="99"/>
    <w:pPr>
      <w:widowControl/>
      <w:spacing w:after="160" w:line="240" w:lineRule="exact"/>
      <w:jc w:val="left"/>
    </w:pPr>
    <w:rPr>
      <w:rFonts w:cs="Times New Roman"/>
      <w:szCs w:val="22"/>
    </w:rPr>
  </w:style>
  <w:style w:type="character" w:customStyle="1" w:styleId="22">
    <w:name w:val="hover42"/>
    <w:basedOn w:val="9"/>
    <w:qFormat/>
    <w:uiPriority w:val="0"/>
    <w:rPr>
      <w:color w:val="000000"/>
      <w:shd w:val="clear" w:color="auto" w:fill="FFFFFF"/>
    </w:rPr>
  </w:style>
  <w:style w:type="character" w:customStyle="1" w:styleId="23">
    <w:name w:val="bsharetext"/>
    <w:basedOn w:val="9"/>
    <w:qFormat/>
    <w:uiPriority w:val="0"/>
  </w:style>
  <w:style w:type="paragraph" w:styleId="24">
    <w:name w:val="List Paragraph"/>
    <w:basedOn w:val="1"/>
    <w:unhideWhenUsed/>
    <w:qFormat/>
    <w:uiPriority w:val="99"/>
    <w:pPr>
      <w:ind w:firstLine="420" w:firstLineChars="200"/>
    </w:pPr>
  </w:style>
  <w:style w:type="character" w:customStyle="1" w:styleId="25">
    <w:name w:val="正文文本_"/>
    <w:basedOn w:val="9"/>
    <w:link w:val="26"/>
    <w:unhideWhenUsed/>
    <w:qFormat/>
    <w:uiPriority w:val="99"/>
    <w:rPr>
      <w:rFonts w:hint="eastAsia" w:ascii="MingLiU" w:hAnsi="MingLiU" w:eastAsia="MingLiU"/>
      <w:sz w:val="24"/>
      <w:lang w:val="zh-CN" w:eastAsia="zh-CN"/>
    </w:rPr>
  </w:style>
  <w:style w:type="paragraph" w:customStyle="1" w:styleId="26">
    <w:name w:val="正文文本1"/>
    <w:basedOn w:val="1"/>
    <w:link w:val="25"/>
    <w:unhideWhenUsed/>
    <w:qFormat/>
    <w:uiPriority w:val="99"/>
    <w:pPr>
      <w:shd w:val="clear" w:color="auto" w:fill="FFFFFF"/>
      <w:spacing w:after="220" w:line="466" w:lineRule="auto"/>
      <w:ind w:firstLine="400"/>
    </w:pPr>
    <w:rPr>
      <w:rFonts w:hint="eastAsia" w:ascii="MingLiU" w:hAnsi="MingLiU" w:eastAsia="MingLiU"/>
      <w:sz w:val="24"/>
      <w:lang w:val="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10157B-4AC0-45D9-913C-C5B31CC6E17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6832</Words>
  <Characters>1017</Characters>
  <Lines>8</Lines>
  <Paragraphs>15</Paragraphs>
  <TotalTime>34</TotalTime>
  <ScaleCrop>false</ScaleCrop>
  <LinksUpToDate>false</LinksUpToDate>
  <CharactersWithSpaces>7834</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2020-11-08T19:14:00Z</dcterms:created>
  <dc:creator>Administrator</dc:creator>
  <cp:lastModifiedBy>Administrator</cp:lastModifiedBy>
  <cp:lastPrinted>2021-01-11T07:17:36Z</cp:lastPrinted>
  <dcterms:modified xsi:type="dcterms:W3CDTF">2021-01-11T07:19:37Z</dcterms:modified>
  <dc:title>2015年益阳市司法局</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