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default" w:ascii="微软雅黑" w:hAnsi="微软雅黑" w:eastAsia="微软雅黑" w:cs="微软雅黑"/>
          <w:color w:val="333333"/>
          <w:kern w:val="0"/>
          <w:sz w:val="24"/>
          <w:szCs w:val="24"/>
          <w:shd w:val="clear" w:color="auto" w:fill="FFFFFF"/>
          <w:lang w:val="en-US" w:eastAsia="zh-CN"/>
        </w:rPr>
      </w:pPr>
      <w:r>
        <w:rPr>
          <w:rFonts w:hint="eastAsia" w:ascii="微软雅黑" w:hAnsi="微软雅黑" w:eastAsia="微软雅黑" w:cs="微软雅黑"/>
          <w:color w:val="333333"/>
          <w:kern w:val="0"/>
          <w:sz w:val="24"/>
          <w:szCs w:val="24"/>
          <w:shd w:val="clear" w:color="auto" w:fill="FFFFFF"/>
          <w:lang w:eastAsia="zh-CN"/>
        </w:rPr>
        <w:t>益阳市大东口电排管理站</w:t>
      </w:r>
      <w:r>
        <w:rPr>
          <w:rFonts w:hint="eastAsia" w:ascii="微软雅黑" w:hAnsi="微软雅黑" w:eastAsia="微软雅黑" w:cs="微软雅黑"/>
          <w:color w:val="333333"/>
          <w:kern w:val="0"/>
          <w:sz w:val="24"/>
          <w:szCs w:val="24"/>
          <w:shd w:val="clear" w:color="auto" w:fill="FFFFFF"/>
          <w:lang w:val="en-US" w:eastAsia="zh-CN"/>
        </w:rPr>
        <w:t>2018年部门决算说明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目</w:t>
      </w:r>
      <w:r>
        <w:rPr>
          <w:rFonts w:hint="eastAsia" w:ascii="微软雅黑" w:hAnsi="微软雅黑" w:eastAsia="微软雅黑" w:cs="微软雅黑"/>
          <w:color w:val="333333"/>
          <w:kern w:val="0"/>
          <w:sz w:val="24"/>
          <w:szCs w:val="24"/>
          <w:shd w:val="clear" w:color="auto" w:fill="FFFFFF"/>
        </w:rPr>
        <w:t> </w:t>
      </w:r>
      <w:r>
        <w:rPr>
          <w:rFonts w:hint="eastAsia" w:ascii="微软雅黑" w:hAnsi="微软雅黑" w:eastAsia="微软雅黑" w:cs="微软雅黑"/>
          <w:color w:val="333333"/>
          <w:kern w:val="0"/>
          <w:sz w:val="24"/>
          <w:szCs w:val="24"/>
          <w:shd w:val="clear" w:color="auto" w:fill="FFFFFF"/>
        </w:rPr>
        <w:t>录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第一部分</w:t>
      </w:r>
      <w:r>
        <w:rPr>
          <w:rFonts w:hint="eastAsia" w:ascii="微软雅黑" w:hAnsi="微软雅黑" w:eastAsia="微软雅黑" w:cs="微软雅黑"/>
          <w:color w:val="333333"/>
          <w:kern w:val="0"/>
          <w:sz w:val="24"/>
          <w:szCs w:val="24"/>
          <w:shd w:val="clear" w:color="auto" w:fill="FFFFFF"/>
        </w:rPr>
        <w:t> 益阳市大东口电排管理站概况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一、主要职能</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二、机构设置</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三、部门决算单位构成</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第二部分 益阳市大东口电排管理站2018 年度部门决算表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一、收入支出决算总表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二、收入决算表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四、财政拨款收入支出决算总表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五、一般公共预算财政拨款支出决算表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六、一般公共预算财政拨款基本支出决算表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七、一般公共预算财政拨款“三公”经费支出决算表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八、政府性基金预算财政拨款收入支出决算表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lang w:val="en-US" w:eastAsia="zh-CN"/>
        </w:rPr>
        <w:t>九、</w:t>
      </w:r>
      <w:r>
        <w:rPr>
          <w:rFonts w:hint="eastAsia" w:ascii="微软雅黑" w:hAnsi="微软雅黑" w:eastAsia="微软雅黑" w:cs="微软雅黑"/>
          <w:color w:val="333333"/>
          <w:kern w:val="0"/>
          <w:sz w:val="24"/>
          <w:szCs w:val="24"/>
          <w:shd w:val="clear" w:color="auto" w:fill="FFFFFF"/>
        </w:rPr>
        <w:t>关于 2018 年度预算绩效情况说明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十、其他重要事项的情况说明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第三部分 益阳市大东口电排管理站2018年度部门决算情况说明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kern w:val="0"/>
          <w:sz w:val="24"/>
          <w:szCs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第一部分</w:t>
      </w:r>
      <w:r>
        <w:rPr>
          <w:rFonts w:hint="eastAsia" w:ascii="微软雅黑" w:hAnsi="微软雅黑" w:eastAsia="微软雅黑" w:cs="微软雅黑"/>
          <w:color w:val="333333"/>
          <w:kern w:val="0"/>
          <w:sz w:val="24"/>
          <w:szCs w:val="24"/>
          <w:shd w:val="clear" w:color="auto" w:fill="FFFFFF"/>
        </w:rPr>
        <w:t> 益阳市大东口电排管理站</w:t>
      </w:r>
      <w:r>
        <w:rPr>
          <w:rFonts w:hint="eastAsia" w:ascii="微软雅黑" w:hAnsi="微软雅黑" w:eastAsia="微软雅黑" w:cs="微软雅黑"/>
          <w:color w:val="333333"/>
          <w:kern w:val="0"/>
          <w:sz w:val="24"/>
          <w:szCs w:val="24"/>
          <w:shd w:val="clear" w:color="auto" w:fill="FFFFFF"/>
        </w:rPr>
        <w:t>概况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一、主要职能</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益阳市大东口电排管理站位于大通湖垸东南方向金盆镇五门闸堤段。泵站总装机容量为4×2500kw，单机流量22.5m</w:t>
      </w:r>
      <w:r>
        <w:rPr>
          <w:rFonts w:hint="eastAsia" w:ascii="微软雅黑" w:hAnsi="微软雅黑" w:eastAsia="微软雅黑" w:cs="微软雅黑"/>
          <w:color w:val="333333"/>
          <w:kern w:val="0"/>
          <w:sz w:val="24"/>
          <w:szCs w:val="24"/>
          <w:shd w:val="clear" w:color="auto" w:fill="FFFFFF"/>
          <w:vertAlign w:val="superscript"/>
        </w:rPr>
        <w:t>3</w:t>
      </w:r>
      <w:r>
        <w:rPr>
          <w:rFonts w:hint="eastAsia" w:ascii="微软雅黑" w:hAnsi="微软雅黑" w:eastAsia="微软雅黑" w:cs="微软雅黑"/>
          <w:color w:val="333333"/>
          <w:kern w:val="0"/>
          <w:sz w:val="24"/>
          <w:szCs w:val="24"/>
          <w:shd w:val="clear" w:color="auto" w:fill="FFFFFF"/>
        </w:rPr>
        <w:t>/s，扬程为9.27m。大东口泵站与明山泵站协同担负着大通湖垸1025平方公里的排渍重任，受益区包括南县4个乡镇、沅江市4个乡镇、大通湖区、南湾湖军垦农场，垸内总人口80万，总面积1025.3平方公里，其中耕地109.66万亩，城镇建设用地16.88万亩。</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1215" w:leftChars="200" w:hanging="795"/>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二、机构设置</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48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大东口电排人员编制30人，设机电股、生产技术股、办公室等。</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 w:after="157" w:afterLines="50" w:line="600" w:lineRule="exact"/>
        <w:ind w:left="1215" w:leftChars="200" w:hanging="795"/>
        <w:jc w:val="left"/>
        <w:textAlignment w:val="auto"/>
        <w:rPr>
          <w:rFonts w:hint="eastAsia" w:ascii="微软雅黑" w:hAnsi="微软雅黑" w:eastAsia="微软雅黑" w:cs="微软雅黑"/>
          <w:color w:val="333333"/>
          <w:sz w:val="24"/>
          <w:szCs w:val="24"/>
          <w:vertAlign w:val="baseline"/>
        </w:rPr>
      </w:pPr>
      <w:r>
        <w:rPr>
          <w:rFonts w:hint="eastAsia" w:ascii="微软雅黑" w:hAnsi="微软雅黑" w:eastAsia="微软雅黑" w:cs="微软雅黑"/>
          <w:color w:val="333333"/>
          <w:kern w:val="0"/>
          <w:sz w:val="24"/>
          <w:szCs w:val="24"/>
          <w:shd w:val="clear" w:color="auto" w:fill="FFFFFF"/>
        </w:rPr>
        <w:t>部门决算单位构成</w:t>
      </w:r>
    </w:p>
    <w:tbl>
      <w:tblPr>
        <w:tblStyle w:val="6"/>
        <w:tblW w:w="0" w:type="auto"/>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60"/>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60" w:type="dxa"/>
            <w:vAlign w:val="center"/>
          </w:tcPr>
          <w:p>
            <w:pPr>
              <w:keepNext w:val="0"/>
              <w:keepLines w:val="0"/>
              <w:pageBreakBefore w:val="0"/>
              <w:widowControl/>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sz w:val="24"/>
                <w:szCs w:val="24"/>
                <w:vertAlign w:val="baseline"/>
                <w:lang w:val="en-US" w:eastAsia="zh-CN"/>
              </w:rPr>
            </w:pPr>
            <w:r>
              <w:rPr>
                <w:rFonts w:hint="eastAsia" w:ascii="微软雅黑" w:hAnsi="微软雅黑" w:eastAsia="微软雅黑" w:cs="微软雅黑"/>
                <w:color w:val="333333"/>
                <w:sz w:val="24"/>
                <w:szCs w:val="24"/>
                <w:vertAlign w:val="baseline"/>
                <w:lang w:val="en-US" w:eastAsia="zh-CN"/>
              </w:rPr>
              <w:t>序号</w:t>
            </w:r>
          </w:p>
        </w:tc>
        <w:tc>
          <w:tcPr>
            <w:tcW w:w="5700" w:type="dxa"/>
            <w:vAlign w:val="center"/>
          </w:tcPr>
          <w:p>
            <w:pPr>
              <w:keepNext w:val="0"/>
              <w:keepLines w:val="0"/>
              <w:pageBreakBefore w:val="0"/>
              <w:widowControl/>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sz w:val="24"/>
                <w:szCs w:val="24"/>
                <w:vertAlign w:val="baseline"/>
                <w:lang w:eastAsia="zh-CN"/>
              </w:rPr>
            </w:pPr>
            <w:r>
              <w:rPr>
                <w:rFonts w:hint="eastAsia" w:ascii="微软雅黑" w:hAnsi="微软雅黑" w:eastAsia="微软雅黑" w:cs="微软雅黑"/>
                <w:color w:val="333333"/>
                <w:sz w:val="24"/>
                <w:szCs w:val="24"/>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60" w:type="dxa"/>
            <w:vAlign w:val="center"/>
          </w:tcPr>
          <w:p>
            <w:pPr>
              <w:keepNext w:val="0"/>
              <w:keepLines w:val="0"/>
              <w:pageBreakBefore w:val="0"/>
              <w:widowControl/>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sz w:val="24"/>
                <w:szCs w:val="24"/>
                <w:vertAlign w:val="baseline"/>
                <w:lang w:val="en-US" w:eastAsia="zh-CN"/>
              </w:rPr>
            </w:pPr>
            <w:r>
              <w:rPr>
                <w:rFonts w:hint="eastAsia" w:ascii="微软雅黑" w:hAnsi="微软雅黑" w:eastAsia="微软雅黑" w:cs="微软雅黑"/>
                <w:color w:val="333333"/>
                <w:sz w:val="24"/>
                <w:szCs w:val="24"/>
                <w:vertAlign w:val="baseline"/>
                <w:lang w:val="en-US" w:eastAsia="zh-CN"/>
              </w:rPr>
              <w:t>1</w:t>
            </w:r>
          </w:p>
        </w:tc>
        <w:tc>
          <w:tcPr>
            <w:tcW w:w="5700" w:type="dxa"/>
            <w:vAlign w:val="center"/>
          </w:tcPr>
          <w:p>
            <w:pPr>
              <w:keepNext w:val="0"/>
              <w:keepLines w:val="0"/>
              <w:pageBreakBefore w:val="0"/>
              <w:widowControl/>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sz w:val="24"/>
                <w:szCs w:val="24"/>
                <w:vertAlign w:val="baseline"/>
                <w:lang w:eastAsia="zh-CN"/>
              </w:rPr>
            </w:pPr>
            <w:r>
              <w:rPr>
                <w:rFonts w:hint="eastAsia" w:ascii="微软雅黑" w:hAnsi="微软雅黑" w:eastAsia="微软雅黑" w:cs="微软雅黑"/>
                <w:color w:val="333333"/>
                <w:sz w:val="24"/>
                <w:szCs w:val="24"/>
                <w:vertAlign w:val="baseline"/>
                <w:lang w:eastAsia="zh-CN"/>
              </w:rPr>
              <w:t>益阳市大东口电排管理站</w:t>
            </w:r>
          </w:p>
        </w:tc>
      </w:tr>
    </w:tbl>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jc w:val="left"/>
        <w:textAlignment w:val="auto"/>
        <w:rPr>
          <w:rFonts w:hint="eastAsia" w:ascii="微软雅黑" w:hAnsi="微软雅黑" w:eastAsia="微软雅黑" w:cs="微软雅黑"/>
          <w:color w:val="333333"/>
          <w:sz w:val="24"/>
          <w:szCs w:val="24"/>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第二部分</w:t>
      </w:r>
      <w:r>
        <w:rPr>
          <w:rFonts w:hint="eastAsia" w:ascii="微软雅黑" w:hAnsi="微软雅黑" w:eastAsia="微软雅黑" w:cs="微软雅黑"/>
          <w:color w:val="333333"/>
          <w:kern w:val="0"/>
          <w:sz w:val="24"/>
          <w:szCs w:val="24"/>
          <w:shd w:val="clear" w:color="auto" w:fill="FFFFFF"/>
        </w:rPr>
        <w:t> 益阳市大东口电排管理站</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w:t>
      </w:r>
      <w:r>
        <w:rPr>
          <w:rFonts w:hint="eastAsia" w:ascii="微软雅黑" w:hAnsi="微软雅黑" w:eastAsia="微软雅黑" w:cs="微软雅黑"/>
          <w:color w:val="333333"/>
          <w:kern w:val="0"/>
          <w:sz w:val="24"/>
          <w:szCs w:val="24"/>
          <w:shd w:val="clear" w:color="auto" w:fill="FFFFFF"/>
        </w:rPr>
        <w:t>年度部门决算表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表1：收入支出决算总表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表2：收入决算表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表3：支出决算表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表4：财政拨款收入支出决算总表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表5：一般公共预算财政拨款支出决算表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表6：一般公共预算财政拨款基本支出决算表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表7：一般公共预算财政拨款“三公”经费支出决算表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表8：政府性基金预算财政拨款收入支出决算表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第三部分</w:t>
      </w:r>
      <w:r>
        <w:rPr>
          <w:rFonts w:hint="eastAsia" w:ascii="微软雅黑" w:hAnsi="微软雅黑" w:eastAsia="微软雅黑" w:cs="微软雅黑"/>
          <w:color w:val="333333"/>
          <w:kern w:val="0"/>
          <w:sz w:val="24"/>
          <w:szCs w:val="24"/>
          <w:shd w:val="clear" w:color="auto" w:fill="FFFFFF"/>
        </w:rPr>
        <w:t> 益阳市大东口电排管理站</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2018 </w:t>
      </w:r>
      <w:r>
        <w:rPr>
          <w:rFonts w:hint="eastAsia" w:ascii="微软雅黑" w:hAnsi="微软雅黑" w:eastAsia="微软雅黑" w:cs="微软雅黑"/>
          <w:color w:val="333333"/>
          <w:kern w:val="0"/>
          <w:sz w:val="24"/>
          <w:szCs w:val="24"/>
          <w:shd w:val="clear" w:color="auto" w:fill="FFFFFF"/>
        </w:rPr>
        <w:t>年度部门决算情况说明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一、关于益阳市大东口电排管理站2018 年度收入支出决算总体情况说明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大东口电排2018年度收入总计265.61万元，比上年同期增加2.11万元，增长0.8 %；支出总计265.61万元，比上年同期增加2.11万元，增长0.8%；。主要原因：人均工资上调。</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72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二、关于益阳市大东口电排管理站2018 年度收入决算情况说明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2018年度收入合计265.61万元，其中：财政拨款收入265.61万元，占100%。</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72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三、关于益阳市大东口电排管理站2018 年度支出决算情况说明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2018年度支出合计265.61万元，其中：基本支出265.61万元，占100%。</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四、关于益阳市大东口电排管理站2018 年度财政拨款收入支出决算总体情况说明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2018 年度财政拨款收入总计265.61万元，比上年同期增加2.11万元，增长0.8%；财政拨款支出总计265.61万元，比上年同期增加2.11万元，增长0.8%。主要原因：人均工资上调。</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五、关于益阳市大东口电排管理站2018 年度一般公共预算财政拨款收入支出决算情况说明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2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（一）一般公共预算财政拨款收入支出决算总体情况。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 年度一般公共预算财政拨款收入总计265.61万元，比上年同期增加2.11万元，增长0.8%；一般公共预算财政拨款支出总计265.61万元，比上年同期增加2.11万元，增长0.8%。主要原因：人均工资上调。</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2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（二）一般公共预算财政拨款支出决算构成情况。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基本支出265.61万元，占100%。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2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（三）一般公共预算财政拨款支出决算具体情况。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1. 行政运行类财政拨款支出237.68万元，主要用于工资福利类支出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2、事业单位医疗类财政拔款支出9.82万元，主要用于社会保障缴费支出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3、住房公积金类财政拔款支出18.11万元，主要用于公积金缴纳。</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六、关于益阳市大东口电排管理站2018 年度一般公共预算财政拨款基本支出决算情况说明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 年度一般公共预算财政拨款基本支出265.61万元，其中人员经费支出255.11万元，主要包括：基本工资、绩效工资、社会保障缴费等；公用经费支出10.5万元，主要包括：办公费、工会经费等。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七、关于益阳市大东口电排管理站2018 年度政府性基金预算财政拨款支出决算情况说明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无政府性基金拔款收入和支出。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八、关于益阳市大东口电排管理站2018 年度一般公共预算财政拨款“三公”经费支出决算情况说明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因大东口电排与明山电排共有一套领导班子，同用一个收支账号和财务核算体系，三公经费部分均在明山电排决算中列支。</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 </w:t>
      </w:r>
      <w:r>
        <w:rPr>
          <w:rFonts w:hint="eastAsia" w:ascii="微软雅黑" w:hAnsi="微软雅黑" w:eastAsia="微软雅黑" w:cs="微软雅黑"/>
          <w:color w:val="333333"/>
          <w:kern w:val="0"/>
          <w:sz w:val="24"/>
          <w:szCs w:val="24"/>
          <w:shd w:val="clear" w:color="auto" w:fill="FFFFFF"/>
        </w:rPr>
        <w:t>九、关于 2018 年度预算绩效情况说明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rPr>
        <w:t>（</w:t>
      </w:r>
      <w:r>
        <w:rPr>
          <w:rFonts w:hint="eastAsia" w:ascii="微软雅黑" w:hAnsi="微软雅黑" w:eastAsia="微软雅黑" w:cs="微软雅黑"/>
          <w:color w:val="333333"/>
          <w:kern w:val="0"/>
          <w:sz w:val="24"/>
          <w:szCs w:val="24"/>
          <w:shd w:val="clear" w:color="auto" w:fill="FFFFFF"/>
        </w:rPr>
        <w:t>一）绩效管理工作开展情况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000000"/>
          <w:spacing w:val="15"/>
          <w:sz w:val="24"/>
          <w:szCs w:val="24"/>
          <w:shd w:val="clear" w:color="auto" w:fill="FFFFFF"/>
        </w:rPr>
      </w:pPr>
      <w:r>
        <w:rPr>
          <w:rFonts w:hint="eastAsia" w:ascii="微软雅黑" w:hAnsi="微软雅黑" w:eastAsia="微软雅黑" w:cs="微软雅黑"/>
          <w:color w:val="333333"/>
          <w:kern w:val="0"/>
          <w:sz w:val="24"/>
          <w:szCs w:val="24"/>
          <w:shd w:val="clear" w:color="auto" w:fill="FFFFFF"/>
        </w:rPr>
        <w:t>1、建立了单位层面的内控运行制约机制,</w:t>
      </w:r>
      <w:r>
        <w:rPr>
          <w:rFonts w:hint="eastAsia" w:ascii="微软雅黑" w:hAnsi="微软雅黑" w:eastAsia="微软雅黑" w:cs="微软雅黑"/>
          <w:color w:val="333333"/>
          <w:kern w:val="0"/>
          <w:sz w:val="24"/>
          <w:szCs w:val="24"/>
          <w:shd w:val="clear" w:color="auto" w:fill="FFFFFF"/>
        </w:rPr>
        <w:t>明确了主体责任，规范了工作内容，确保预算绩效评价工作有章可循，有序开展</w:t>
      </w:r>
      <w:r>
        <w:rPr>
          <w:rFonts w:hint="eastAsia" w:ascii="微软雅黑" w:hAnsi="微软雅黑" w:eastAsia="微软雅黑" w:cs="微软雅黑"/>
          <w:color w:val="333333"/>
          <w:kern w:val="0"/>
          <w:sz w:val="24"/>
          <w:szCs w:val="24"/>
          <w:shd w:val="clear" w:color="auto" w:fill="FFFFFF"/>
        </w:rPr>
        <w:t>。主要包括：内控管理职责分工、经济活动决策机制、关键岗位责任机制、关键人员资质能力、财务信息编报要求、信息技术应用要求、经济活动风险评估、内部控制监督评价等。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2、梳理了单位主要经济业务管理制度及流程。针对预算管理、收支管理、政府采购管理、资产管理、基建项目管理、合同管理等6个业务模块进行了流程梳理，制定了相关的管理制度，以及流程图。</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3、</w:t>
      </w:r>
      <w:r>
        <w:rPr>
          <w:rFonts w:hint="eastAsia" w:ascii="微软雅黑" w:hAnsi="微软雅黑" w:eastAsia="微软雅黑" w:cs="微软雅黑"/>
          <w:color w:val="333333"/>
          <w:kern w:val="0"/>
          <w:sz w:val="24"/>
          <w:szCs w:val="24"/>
          <w:shd w:val="clear" w:color="auto" w:fill="FFFFFF"/>
        </w:rPr>
        <w:t>从单纯的事后绩效评价转变为与开展绩效目标管理、事前评估、事中绩效监控相结合的预算绩效管理方式，把预算编制与部门发展规划和绩效目标联系起来，并进行跟踪问效。</w:t>
      </w:r>
      <w:r>
        <w:rPr>
          <w:rFonts w:hint="eastAsia" w:ascii="微软雅黑" w:hAnsi="微软雅黑" w:eastAsia="微软雅黑" w:cs="微软雅黑"/>
          <w:color w:val="333333"/>
          <w:kern w:val="0"/>
          <w:sz w:val="24"/>
          <w:szCs w:val="24"/>
          <w:shd w:val="clear" w:color="auto" w:fill="FFFFFF"/>
        </w:rPr>
        <w:t>汇编内控管理工作手册分为总则、单位层面内部控制制度、业务层面内部控制制度、流程图、内部控制评价与监督五个部分，</w:t>
      </w:r>
      <w:r>
        <w:rPr>
          <w:rFonts w:hint="eastAsia" w:ascii="微软雅黑" w:hAnsi="微软雅黑" w:eastAsia="微软雅黑" w:cs="微软雅黑"/>
          <w:color w:val="333333"/>
          <w:kern w:val="0"/>
          <w:sz w:val="24"/>
          <w:szCs w:val="24"/>
          <w:shd w:val="clear" w:color="auto" w:fill="FFFFFF"/>
        </w:rPr>
        <w:t>逐步形成自我约束、内部规范的良性机制，提高了管理水平和资金使用效益。</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（二）部门决算中项目绩效自评结果：优秀</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（三）预算绩效情况的说明：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通过绩效评价政策落实对部门整体支出和项目支出的经济、效率、效益情况进行全面分析和纵向比较。年初制订工作计划，并对费用的支出进行预算。明确专人负责绩效自评工作。按期考核、核实数据、查阅资料、归纳汇总、形成绩效评价报告，通过绩效评价的结果确定下一阶段的指标并依此合理分配</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"https://baike.baidu.com/item/%E8%B5%84%E6%BA%90" \t "http://www.yiyang.gov.cn/yiyang/6438/6439/6440/6444/6557/_blank"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333333"/>
          <w:kern w:val="0"/>
          <w:sz w:val="24"/>
          <w:szCs w:val="24"/>
          <w:shd w:val="clear" w:color="auto" w:fill="FFFFFF"/>
        </w:rPr>
        <w:t>资源</w:t>
      </w:r>
      <w:r>
        <w:rPr>
          <w:rFonts w:hint="eastAsia" w:ascii="微软雅黑" w:hAnsi="微软雅黑" w:eastAsia="微软雅黑" w:cs="微软雅黑"/>
          <w:color w:val="333333"/>
          <w:kern w:val="0"/>
          <w:sz w:val="24"/>
          <w:szCs w:val="24"/>
          <w:shd w:val="clear" w:color="auto" w:fill="FFFFFF"/>
        </w:rPr>
        <w:fldChar w:fldCharType="end"/>
      </w:r>
      <w:r>
        <w:rPr>
          <w:rFonts w:hint="eastAsia" w:ascii="微软雅黑" w:hAnsi="微软雅黑" w:eastAsia="微软雅黑" w:cs="微软雅黑"/>
          <w:color w:val="333333"/>
          <w:kern w:val="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十、其他重要事项的情况说明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（一）预决算收支增减变化情况。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2018年预算收入</w:t>
      </w:r>
      <w:r>
        <w:rPr>
          <w:rFonts w:hint="eastAsia" w:ascii="微软雅黑" w:hAnsi="微软雅黑" w:eastAsia="微软雅黑" w:cs="微软雅黑"/>
          <w:color w:val="333333"/>
          <w:kern w:val="0"/>
          <w:sz w:val="24"/>
          <w:szCs w:val="24"/>
          <w:shd w:val="clear" w:color="auto" w:fill="FFFFFF"/>
        </w:rPr>
        <w:t>265.61</w:t>
      </w:r>
      <w:r>
        <w:rPr>
          <w:rFonts w:hint="eastAsia" w:ascii="微软雅黑" w:hAnsi="微软雅黑" w:eastAsia="微软雅黑" w:cs="微软雅黑"/>
          <w:color w:val="333333"/>
          <w:kern w:val="0"/>
          <w:sz w:val="24"/>
          <w:szCs w:val="24"/>
          <w:shd w:val="clear" w:color="auto" w:fill="FFFFFF"/>
        </w:rPr>
        <w:t>万元，其中公共财政预算拔款</w:t>
      </w:r>
      <w:r>
        <w:rPr>
          <w:rFonts w:hint="eastAsia" w:ascii="微软雅黑" w:hAnsi="微软雅黑" w:eastAsia="微软雅黑" w:cs="微软雅黑"/>
          <w:color w:val="333333"/>
          <w:kern w:val="0"/>
          <w:sz w:val="24"/>
          <w:szCs w:val="24"/>
          <w:shd w:val="clear" w:color="auto" w:fill="FFFFFF"/>
        </w:rPr>
        <w:t>265.61</w:t>
      </w:r>
      <w:r>
        <w:rPr>
          <w:rFonts w:hint="eastAsia" w:ascii="微软雅黑" w:hAnsi="微软雅黑" w:eastAsia="微软雅黑" w:cs="微软雅黑"/>
          <w:color w:val="333333"/>
          <w:kern w:val="0"/>
          <w:sz w:val="24"/>
          <w:szCs w:val="24"/>
          <w:shd w:val="clear" w:color="auto" w:fill="FFFFFF"/>
        </w:rPr>
        <w:t>万元；决算收入</w:t>
      </w:r>
      <w:r>
        <w:rPr>
          <w:rFonts w:hint="eastAsia" w:ascii="微软雅黑" w:hAnsi="微软雅黑" w:eastAsia="微软雅黑" w:cs="微软雅黑"/>
          <w:color w:val="333333"/>
          <w:kern w:val="0"/>
          <w:sz w:val="24"/>
          <w:szCs w:val="24"/>
          <w:shd w:val="clear" w:color="auto" w:fill="FFFFFF"/>
        </w:rPr>
        <w:t>265.61万元，其中：公共财政拨款收入265.61万元。</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（二）机关运行经费支出情况。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本单位性质为事业单位，未统计机关运行经费。</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（三）政府采购支出情况。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本单位2018年没有政府采购支出。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（四）国有资产占用情况。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截至2018年12月31日，本单位国有资产未办理移交。</w:t>
      </w: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第四部分</w:t>
      </w:r>
      <w:r>
        <w:rPr>
          <w:rFonts w:hint="eastAsia" w:ascii="微软雅黑" w:hAnsi="微软雅黑" w:eastAsia="微软雅黑" w:cs="微软雅黑"/>
          <w:color w:val="333333"/>
          <w:kern w:val="0"/>
          <w:sz w:val="24"/>
          <w:szCs w:val="24"/>
          <w:shd w:val="clear" w:color="auto" w:fill="FFFFFF"/>
        </w:rPr>
        <w:t> </w:t>
      </w:r>
      <w:r>
        <w:rPr>
          <w:rFonts w:hint="eastAsia" w:ascii="微软雅黑" w:hAnsi="微软雅黑" w:eastAsia="微软雅黑" w:cs="微软雅黑"/>
          <w:color w:val="333333"/>
          <w:kern w:val="0"/>
          <w:sz w:val="24"/>
          <w:szCs w:val="24"/>
          <w:shd w:val="clear" w:color="auto" w:fill="FFFFFF"/>
        </w:rPr>
        <w:t>名词解释</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一、财政拨款收入：</w:t>
      </w:r>
      <w:r>
        <w:rPr>
          <w:rFonts w:hint="eastAsia" w:ascii="微软雅黑" w:hAnsi="微软雅黑" w:eastAsia="微软雅黑" w:cs="微软雅黑"/>
          <w:color w:val="333333"/>
          <w:kern w:val="0"/>
          <w:sz w:val="24"/>
          <w:szCs w:val="24"/>
          <w:shd w:val="clear" w:color="auto" w:fill="FFFFFF"/>
        </w:rPr>
        <w:t>指中央财政当年拨付的资金。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二、事业收入：</w:t>
      </w:r>
      <w:r>
        <w:rPr>
          <w:rFonts w:hint="eastAsia" w:ascii="微软雅黑" w:hAnsi="微软雅黑" w:eastAsia="微软雅黑" w:cs="微软雅黑"/>
          <w:color w:val="333333"/>
          <w:kern w:val="0"/>
          <w:sz w:val="24"/>
          <w:szCs w:val="24"/>
          <w:shd w:val="clear" w:color="auto" w:fill="FFFFFF"/>
        </w:rPr>
        <w:t>指事业单位开展专业业务活动及辅助活动所取得的收入。如：中国财政杂志社的刊物发行收入，中国注册会计师协会、中国资产评估协会、中国国债协会、中国会计学会收取的会费收入等。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三、经营收入：</w:t>
      </w:r>
      <w:r>
        <w:rPr>
          <w:rFonts w:hint="eastAsia" w:ascii="微软雅黑" w:hAnsi="微软雅黑" w:eastAsia="微软雅黑" w:cs="微软雅黑"/>
          <w:color w:val="333333"/>
          <w:kern w:val="0"/>
          <w:sz w:val="24"/>
          <w:szCs w:val="24"/>
          <w:shd w:val="clear" w:color="auto" w:fill="FFFFFF"/>
        </w:rPr>
        <w:t>指事业单位在专业业务活动及其辅助活动之外开展非独立核算经营活动取得的收入。如：中国财政杂志社广告收入等。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四、其他收入：</w:t>
      </w:r>
      <w:r>
        <w:rPr>
          <w:rFonts w:hint="eastAsia" w:ascii="微软雅黑" w:hAnsi="微软雅黑" w:eastAsia="微软雅黑" w:cs="微软雅黑"/>
          <w:color w:val="333333"/>
          <w:kern w:val="0"/>
          <w:sz w:val="24"/>
          <w:szCs w:val="24"/>
          <w:shd w:val="clear" w:color="auto" w:fill="FFFFFF"/>
        </w:rPr>
        <w:t>指除上述“财政拨款收入” 、 “事业收入” 、“经营收入”等以外的收入。主要是按规定动用的售房收入、存款利息收入等。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五、用事业基金弥补收支差额：</w:t>
      </w:r>
      <w:r>
        <w:rPr>
          <w:rFonts w:hint="eastAsia" w:ascii="微软雅黑" w:hAnsi="微软雅黑" w:eastAsia="微软雅黑" w:cs="微软雅黑"/>
          <w:color w:val="333333"/>
          <w:kern w:val="0"/>
          <w:sz w:val="24"/>
          <w:szCs w:val="24"/>
          <w:shd w:val="clear" w:color="auto" w:fill="FFFFFF"/>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六、年初结转和结余：</w:t>
      </w:r>
      <w:r>
        <w:rPr>
          <w:rFonts w:hint="eastAsia" w:ascii="微软雅黑" w:hAnsi="微软雅黑" w:eastAsia="微软雅黑" w:cs="微软雅黑"/>
          <w:color w:val="333333"/>
          <w:kern w:val="0"/>
          <w:sz w:val="24"/>
          <w:szCs w:val="24"/>
          <w:shd w:val="clear" w:color="auto" w:fill="FFFFFF"/>
        </w:rPr>
        <w:t>指以前年度尚未完成、结转到本年按有关规定继续使用的资金。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七、结余分配：</w:t>
      </w:r>
      <w:r>
        <w:rPr>
          <w:rFonts w:hint="eastAsia" w:ascii="微软雅黑" w:hAnsi="微软雅黑" w:eastAsia="微软雅黑" w:cs="微软雅黑"/>
          <w:color w:val="333333"/>
          <w:kern w:val="0"/>
          <w:sz w:val="24"/>
          <w:szCs w:val="24"/>
          <w:shd w:val="clear" w:color="auto" w:fill="FFFFFF"/>
        </w:rPr>
        <w:t>指事业单位按规定提取的职工福利基金、事业基金和缴纳的所得税，以及建设单位按规定应交回的基本建设竣工项目结余资金。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八、年末结转和结余：</w:t>
      </w:r>
      <w:r>
        <w:rPr>
          <w:rFonts w:hint="eastAsia" w:ascii="微软雅黑" w:hAnsi="微软雅黑" w:eastAsia="微软雅黑" w:cs="微软雅黑"/>
          <w:color w:val="333333"/>
          <w:kern w:val="0"/>
          <w:sz w:val="24"/>
          <w:szCs w:val="24"/>
          <w:shd w:val="clear" w:color="auto" w:fill="FFFFFF"/>
        </w:rPr>
        <w:t>指本年度或以前年度预算安排、因客观条件发生变化无法按原计划实施，需要延迟到以后年度按有关规定继续使用的资金。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九、基本支出：</w:t>
      </w:r>
      <w:r>
        <w:rPr>
          <w:rFonts w:hint="eastAsia" w:ascii="微软雅黑" w:hAnsi="微软雅黑" w:eastAsia="微软雅黑" w:cs="微软雅黑"/>
          <w:color w:val="333333"/>
          <w:kern w:val="0"/>
          <w:sz w:val="24"/>
          <w:szCs w:val="24"/>
          <w:shd w:val="clear" w:color="auto" w:fill="FFFFFF"/>
        </w:rPr>
        <w:t>指为保障机构正常运转、完成日常工</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作任务而发生的人员支出和公用支出。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十、项目支出：</w:t>
      </w:r>
      <w:r>
        <w:rPr>
          <w:rFonts w:hint="eastAsia" w:ascii="微软雅黑" w:hAnsi="微软雅黑" w:eastAsia="微软雅黑" w:cs="微软雅黑"/>
          <w:color w:val="333333"/>
          <w:kern w:val="0"/>
          <w:sz w:val="24"/>
          <w:szCs w:val="24"/>
          <w:shd w:val="clear" w:color="auto" w:fill="FFFFFF"/>
        </w:rPr>
        <w:t>指在基本支出之外为完成特定行政任务和事业发展目标所发生的支出。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十一、经营支出：</w:t>
      </w:r>
      <w:r>
        <w:rPr>
          <w:rFonts w:hint="eastAsia" w:ascii="微软雅黑" w:hAnsi="微软雅黑" w:eastAsia="微软雅黑" w:cs="微软雅黑"/>
          <w:color w:val="333333"/>
          <w:kern w:val="0"/>
          <w:sz w:val="24"/>
          <w:szCs w:val="24"/>
          <w:shd w:val="clear" w:color="auto" w:fill="FFFFFF"/>
        </w:rPr>
        <w:t>指事业单位在专业业务活动及其辅助活动之外开展非独立核算经营活动发生的支出。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十二、“三公”经费：</w:t>
      </w:r>
      <w:r>
        <w:rPr>
          <w:rFonts w:hint="eastAsia" w:ascii="微软雅黑" w:hAnsi="微软雅黑" w:eastAsia="微软雅黑" w:cs="微软雅黑"/>
          <w:color w:val="333333"/>
          <w:kern w:val="0"/>
          <w:sz w:val="24"/>
          <w:szCs w:val="24"/>
          <w:shd w:val="clear" w:color="auto" w:fill="FFFFFF"/>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before="10" w:after="157" w:afterLines="50" w:line="600" w:lineRule="exact"/>
        <w:ind w:left="420" w:leftChars="200"/>
        <w:textAlignment w:val="auto"/>
        <w:rPr>
          <w:rFonts w:hint="eastAsia" w:ascii="微软雅黑" w:hAnsi="微软雅黑" w:eastAsia="微软雅黑" w:cs="微软雅黑"/>
          <w:sz w:val="24"/>
          <w:szCs w:val="24"/>
        </w:rPr>
      </w:pPr>
    </w:p>
    <w:sectPr>
      <w:pgSz w:w="11906" w:h="16838"/>
      <w:pgMar w:top="1701" w:right="1134"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E7C9"/>
    <w:multiLevelType w:val="singleLevel"/>
    <w:tmpl w:val="31C8E7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71FA"/>
    <w:rsid w:val="003A71FA"/>
    <w:rsid w:val="00405C4D"/>
    <w:rsid w:val="006E5123"/>
    <w:rsid w:val="00CB22E4"/>
    <w:rsid w:val="0F6F6F5A"/>
    <w:rsid w:val="62CB586C"/>
    <w:rsid w:val="741B2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444</Words>
  <Characters>2531</Characters>
  <Lines>21</Lines>
  <Paragraphs>5</Paragraphs>
  <TotalTime>6</TotalTime>
  <ScaleCrop>false</ScaleCrop>
  <LinksUpToDate>false</LinksUpToDate>
  <CharactersWithSpaces>2970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c:creator>
  <cp:lastModifiedBy>Administrator</cp:lastModifiedBy>
  <dcterms:modified xsi:type="dcterms:W3CDTF">2020-01-20T02:53:47Z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