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36"/>
        <w:jc w:val="center"/>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lang w:eastAsia="zh-CN"/>
        </w:rPr>
        <w:t>益阳市明山电排管理站</w:t>
      </w:r>
      <w:r>
        <w:rPr>
          <w:rFonts w:hint="eastAsia" w:ascii="微软雅黑" w:hAnsi="微软雅黑" w:eastAsia="微软雅黑" w:cs="微软雅黑"/>
          <w:color w:val="333333"/>
          <w:kern w:val="0"/>
          <w:sz w:val="24"/>
          <w:szCs w:val="24"/>
          <w:shd w:val="clear" w:color="auto" w:fill="FFFFFF"/>
          <w:lang w:val="en-US" w:eastAsia="zh-CN"/>
        </w:rPr>
        <w:t>2018年部门决算公开</w:t>
      </w:r>
      <w:r>
        <w:rPr>
          <w:rFonts w:hint="eastAsia" w:ascii="微软雅黑" w:hAnsi="微软雅黑" w:eastAsia="微软雅黑" w:cs="微软雅黑"/>
          <w:color w:val="333333"/>
          <w:kern w:val="0"/>
          <w:sz w:val="24"/>
          <w:szCs w:val="24"/>
          <w:shd w:val="clear" w:color="auto" w:fill="FFFFFF"/>
        </w:rPr>
        <w:t> </w:t>
      </w: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jc w:val="center"/>
        <w:textAlignment w:val="auto"/>
        <w:rPr>
          <w:rFonts w:hint="eastAsia" w:ascii="微软雅黑" w:hAnsi="微软雅黑" w:eastAsia="微软雅黑" w:cs="微软雅黑"/>
          <w:color w:val="333333"/>
          <w:kern w:val="0"/>
          <w:sz w:val="24"/>
          <w:szCs w:val="24"/>
          <w:shd w:val="clear" w:color="auto" w:fill="FFFFFF"/>
          <w:lang w:eastAsia="zh-CN"/>
        </w:rPr>
      </w:pPr>
      <w:r>
        <w:rPr>
          <w:rFonts w:hint="eastAsia" w:ascii="微软雅黑" w:hAnsi="微软雅黑" w:eastAsia="微软雅黑" w:cs="微软雅黑"/>
          <w:color w:val="333333"/>
          <w:kern w:val="0"/>
          <w:sz w:val="24"/>
          <w:szCs w:val="24"/>
          <w:shd w:val="clear" w:color="auto" w:fill="FFFFFF"/>
          <w:lang w:eastAsia="zh-CN"/>
        </w:rPr>
        <w:t>目录</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firstLine="480" w:firstLineChars="200"/>
        <w:jc w:val="both"/>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第一部分</w:t>
      </w:r>
      <w:r>
        <w:rPr>
          <w:rFonts w:hint="eastAsia" w:ascii="微软雅黑" w:hAnsi="微软雅黑" w:eastAsia="微软雅黑" w:cs="微软雅黑"/>
          <w:color w:val="333333"/>
          <w:kern w:val="0"/>
          <w:sz w:val="24"/>
          <w:szCs w:val="24"/>
          <w:shd w:val="clear" w:color="auto" w:fill="FFFFFF"/>
        </w:rPr>
        <w:t> 益阳市明山电排管理站概况</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一、主要职能</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二、机构设置</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三、部门决算单位构成</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第二部分 益阳市明山电排管理站2018 年度部门决算表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一、收入支出决算总表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二、收入决算表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三、支出决算表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四、财政拨款收入支出决算总表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五、一般公共预算财政拨款支出决算表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七、一般公共预算财政拨款“三公”经费支出决算表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八、政府性基金预算财政拨款收入支出决算表</w:t>
      </w:r>
    </w:p>
    <w:p>
      <w:pPr>
        <w:keepNext w:val="0"/>
        <w:keepLines w:val="0"/>
        <w:pageBreakBefore w:val="0"/>
        <w:kinsoku/>
        <w:wordWrap/>
        <w:overflowPunct/>
        <w:topLinePunct w:val="0"/>
        <w:autoSpaceDE/>
        <w:autoSpaceDN/>
        <w:bidi w:val="0"/>
        <w:adjustRightInd/>
        <w:snapToGrid/>
        <w:spacing w:before="10" w:after="157" w:afterLines="50" w:line="600" w:lineRule="exact"/>
        <w:ind w:left="420" w:left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九、</w:t>
      </w:r>
      <w:r>
        <w:rPr>
          <w:rFonts w:hint="eastAsia" w:ascii="微软雅黑" w:hAnsi="微软雅黑" w:eastAsia="微软雅黑" w:cs="微软雅黑"/>
          <w:sz w:val="24"/>
          <w:szCs w:val="24"/>
        </w:rPr>
        <w:t>关于 2018 年度预算绩效情况说明</w:t>
      </w:r>
    </w:p>
    <w:p>
      <w:pPr>
        <w:keepNext w:val="0"/>
        <w:keepLines w:val="0"/>
        <w:pageBreakBefore w:val="0"/>
        <w:kinsoku/>
        <w:wordWrap/>
        <w:overflowPunct/>
        <w:topLinePunct w:val="0"/>
        <w:autoSpaceDE/>
        <w:autoSpaceDN/>
        <w:bidi w:val="0"/>
        <w:adjustRightInd/>
        <w:snapToGrid/>
        <w:spacing w:before="10" w:after="157" w:afterLines="50" w:line="600" w:lineRule="exact"/>
        <w:ind w:left="420" w:leftChars="200"/>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sz w:val="24"/>
          <w:szCs w:val="24"/>
        </w:rPr>
        <w:t>十、其他重要事项的情况说明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第三部分 益阳市明山电排管理站2018年度部门决算情况说明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第四部分 名词解释</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center"/>
        <w:textAlignment w:val="auto"/>
        <w:rPr>
          <w:rFonts w:hint="eastAsia" w:ascii="微软雅黑" w:hAnsi="微软雅黑" w:eastAsia="微软雅黑" w:cs="微软雅黑"/>
          <w:color w:val="333333"/>
          <w:kern w:val="0"/>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第一部分</w:t>
      </w:r>
      <w:r>
        <w:rPr>
          <w:rFonts w:hint="eastAsia" w:ascii="微软雅黑" w:hAnsi="微软雅黑" w:eastAsia="微软雅黑" w:cs="微软雅黑"/>
          <w:color w:val="333333"/>
          <w:kern w:val="0"/>
          <w:sz w:val="24"/>
          <w:szCs w:val="24"/>
          <w:shd w:val="clear" w:color="auto" w:fill="FFFFFF"/>
        </w:rPr>
        <w:t> 益阳市明山电排管理站</w:t>
      </w:r>
      <w:r>
        <w:rPr>
          <w:rFonts w:hint="eastAsia" w:ascii="微软雅黑" w:hAnsi="微软雅黑" w:eastAsia="微软雅黑" w:cs="微软雅黑"/>
          <w:color w:val="333333"/>
          <w:kern w:val="0"/>
          <w:sz w:val="24"/>
          <w:szCs w:val="24"/>
          <w:shd w:val="clear" w:color="auto" w:fill="FFFFFF"/>
        </w:rPr>
        <w:t>概况 </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一、主要职能</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益阳市明山电排座落在南县明山头镇，泵站总装机容量6×2300KW，设计扬程5.62米，设计流量6×25m</w:t>
      </w:r>
      <w:r>
        <w:rPr>
          <w:rFonts w:hint="eastAsia" w:ascii="微软雅黑" w:hAnsi="微软雅黑" w:eastAsia="微软雅黑" w:cs="微软雅黑"/>
          <w:color w:val="333333"/>
          <w:kern w:val="0"/>
          <w:sz w:val="24"/>
          <w:szCs w:val="24"/>
          <w:shd w:val="clear" w:color="auto" w:fill="FFFFFF"/>
          <w:vertAlign w:val="superscript"/>
        </w:rPr>
        <w:t>3</w:t>
      </w:r>
      <w:r>
        <w:rPr>
          <w:rFonts w:hint="eastAsia" w:ascii="微软雅黑" w:hAnsi="微软雅黑" w:eastAsia="微软雅黑" w:cs="微软雅黑"/>
          <w:color w:val="333333"/>
          <w:kern w:val="0"/>
          <w:sz w:val="24"/>
          <w:szCs w:val="24"/>
          <w:shd w:val="clear" w:color="auto" w:fill="FFFFFF"/>
        </w:rPr>
        <w:t>/s，泵站受益区为大通湖大垸，包括南县、沅江市及大通湖区和南湾湖军垦农场。垸内总人口80万，总面积1025.3平方公里，其中耕地109.66万亩，城镇建设用地16.88万亩。</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1215" w:leftChars="200" w:hanging="795"/>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二、机构设置</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1215" w:leftChars="200" w:hanging="795"/>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明山电排人员编制28人，设机电股、生产技术股、办公室、财务室、人事股等。</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1215" w:leftChars="200" w:hanging="795"/>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三、部门决算单位构成</w:t>
      </w:r>
    </w:p>
    <w:tbl>
      <w:tblPr>
        <w:tblStyle w:val="4"/>
        <w:tblpPr w:leftFromText="180" w:rightFromText="180" w:vertAnchor="text" w:horzAnchor="page" w:tblpXSpec="center" w:tblpY="751"/>
        <w:tblOverlap w:val="never"/>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widowControl/>
              <w:kinsoku/>
              <w:wordWrap/>
              <w:overflowPunct/>
              <w:topLinePunct w:val="0"/>
              <w:autoSpaceDE/>
              <w:autoSpaceDN/>
              <w:bidi w:val="0"/>
              <w:adjustRightInd/>
              <w:snapToGrid/>
              <w:spacing w:before="10" w:after="157" w:afterLines="50" w:line="600" w:lineRule="exact"/>
              <w:jc w:val="center"/>
              <w:textAlignment w:val="auto"/>
              <w:rPr>
                <w:rFonts w:hint="eastAsia" w:ascii="微软雅黑" w:hAnsi="微软雅黑" w:eastAsia="微软雅黑" w:cs="微软雅黑"/>
                <w:color w:val="333333"/>
                <w:sz w:val="24"/>
                <w:szCs w:val="24"/>
                <w:vertAlign w:val="baseline"/>
                <w:lang w:eastAsia="zh-CN"/>
              </w:rPr>
            </w:pPr>
            <w:r>
              <w:rPr>
                <w:rFonts w:hint="eastAsia" w:ascii="微软雅黑" w:hAnsi="微软雅黑" w:eastAsia="微软雅黑" w:cs="微软雅黑"/>
                <w:color w:val="333333"/>
                <w:sz w:val="24"/>
                <w:szCs w:val="24"/>
                <w:vertAlign w:val="baseline"/>
                <w:lang w:eastAsia="zh-CN"/>
              </w:rPr>
              <w:t>序号</w:t>
            </w:r>
          </w:p>
        </w:tc>
        <w:tc>
          <w:tcPr>
            <w:tcW w:w="7399" w:type="dxa"/>
            <w:vAlign w:val="center"/>
          </w:tcPr>
          <w:p>
            <w:pPr>
              <w:keepNext w:val="0"/>
              <w:keepLines w:val="0"/>
              <w:pageBreakBefore w:val="0"/>
              <w:widowControl/>
              <w:kinsoku/>
              <w:wordWrap/>
              <w:overflowPunct/>
              <w:topLinePunct w:val="0"/>
              <w:autoSpaceDE/>
              <w:autoSpaceDN/>
              <w:bidi w:val="0"/>
              <w:adjustRightInd/>
              <w:snapToGrid/>
              <w:spacing w:before="10" w:after="157" w:afterLines="50" w:line="600" w:lineRule="exact"/>
              <w:jc w:val="center"/>
              <w:textAlignment w:val="auto"/>
              <w:rPr>
                <w:rFonts w:hint="eastAsia" w:ascii="微软雅黑" w:hAnsi="微软雅黑" w:eastAsia="微软雅黑" w:cs="微软雅黑"/>
                <w:color w:val="333333"/>
                <w:sz w:val="24"/>
                <w:szCs w:val="24"/>
                <w:vertAlign w:val="baseline"/>
                <w:lang w:eastAsia="zh-CN"/>
              </w:rPr>
            </w:pPr>
            <w:r>
              <w:rPr>
                <w:rFonts w:hint="eastAsia" w:ascii="微软雅黑" w:hAnsi="微软雅黑" w:eastAsia="微软雅黑" w:cs="微软雅黑"/>
                <w:color w:val="333333"/>
                <w:sz w:val="24"/>
                <w:szCs w:val="24"/>
                <w:vertAlign w:val="baseline"/>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widowControl/>
              <w:kinsoku/>
              <w:wordWrap/>
              <w:overflowPunct/>
              <w:topLinePunct w:val="0"/>
              <w:autoSpaceDE/>
              <w:autoSpaceDN/>
              <w:bidi w:val="0"/>
              <w:adjustRightInd/>
              <w:snapToGrid/>
              <w:spacing w:before="10" w:after="157" w:afterLines="50" w:line="600" w:lineRule="exact"/>
              <w:jc w:val="center"/>
              <w:textAlignment w:val="auto"/>
              <w:rPr>
                <w:rFonts w:hint="eastAsia" w:ascii="微软雅黑" w:hAnsi="微软雅黑" w:eastAsia="微软雅黑" w:cs="微软雅黑"/>
                <w:color w:val="333333"/>
                <w:sz w:val="24"/>
                <w:szCs w:val="24"/>
                <w:vertAlign w:val="baseline"/>
                <w:lang w:val="en-US" w:eastAsia="zh-CN"/>
              </w:rPr>
            </w:pPr>
            <w:r>
              <w:rPr>
                <w:rFonts w:hint="eastAsia" w:ascii="微软雅黑" w:hAnsi="微软雅黑" w:eastAsia="微软雅黑" w:cs="微软雅黑"/>
                <w:color w:val="333333"/>
                <w:sz w:val="24"/>
                <w:szCs w:val="24"/>
                <w:vertAlign w:val="baseline"/>
                <w:lang w:val="en-US" w:eastAsia="zh-CN"/>
              </w:rPr>
              <w:t>1</w:t>
            </w:r>
          </w:p>
        </w:tc>
        <w:tc>
          <w:tcPr>
            <w:tcW w:w="7399" w:type="dxa"/>
            <w:vAlign w:val="center"/>
          </w:tcPr>
          <w:p>
            <w:pPr>
              <w:keepNext w:val="0"/>
              <w:keepLines w:val="0"/>
              <w:pageBreakBefore w:val="0"/>
              <w:widowControl/>
              <w:kinsoku/>
              <w:wordWrap/>
              <w:overflowPunct/>
              <w:topLinePunct w:val="0"/>
              <w:autoSpaceDE/>
              <w:autoSpaceDN/>
              <w:bidi w:val="0"/>
              <w:adjustRightInd/>
              <w:snapToGrid/>
              <w:spacing w:before="10" w:after="157" w:afterLines="50" w:line="600" w:lineRule="exact"/>
              <w:jc w:val="center"/>
              <w:textAlignment w:val="auto"/>
              <w:rPr>
                <w:rFonts w:hint="eastAsia" w:ascii="微软雅黑" w:hAnsi="微软雅黑" w:eastAsia="微软雅黑" w:cs="微软雅黑"/>
                <w:color w:val="333333"/>
                <w:sz w:val="24"/>
                <w:szCs w:val="24"/>
                <w:vertAlign w:val="baseline"/>
                <w:lang w:eastAsia="zh-CN"/>
              </w:rPr>
            </w:pPr>
            <w:r>
              <w:rPr>
                <w:rFonts w:hint="eastAsia" w:ascii="微软雅黑" w:hAnsi="微软雅黑" w:eastAsia="微软雅黑" w:cs="微软雅黑"/>
                <w:color w:val="333333"/>
                <w:sz w:val="24"/>
                <w:szCs w:val="24"/>
                <w:vertAlign w:val="baseline"/>
                <w:lang w:eastAsia="zh-CN"/>
              </w:rPr>
              <w:t>益阳市明山电排管理站</w:t>
            </w:r>
          </w:p>
        </w:tc>
      </w:tr>
    </w:tbl>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第二部分</w:t>
      </w:r>
      <w:r>
        <w:rPr>
          <w:rFonts w:hint="eastAsia" w:ascii="微软雅黑" w:hAnsi="微软雅黑" w:eastAsia="微软雅黑" w:cs="微软雅黑"/>
          <w:color w:val="333333"/>
          <w:kern w:val="0"/>
          <w:sz w:val="24"/>
          <w:szCs w:val="24"/>
          <w:shd w:val="clear" w:color="auto" w:fill="FFFFFF"/>
        </w:rPr>
        <w:t> 益阳市明山电排管理站</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w:t>
      </w:r>
      <w:r>
        <w:rPr>
          <w:rFonts w:hint="eastAsia" w:ascii="微软雅黑" w:hAnsi="微软雅黑" w:eastAsia="微软雅黑" w:cs="微软雅黑"/>
          <w:color w:val="333333"/>
          <w:kern w:val="0"/>
          <w:sz w:val="24"/>
          <w:szCs w:val="24"/>
          <w:shd w:val="clear" w:color="auto" w:fill="FFFFFF"/>
        </w:rPr>
        <w:t>年度部门决算表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firstLine="480" w:firstLine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表1：收入支出决算总表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表2：收入决算表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表3：支出决算表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表4：财政拨款收入支出决算总表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表5：一般公共预算财政拨款支出决算表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表6：一般公共预算财政拨款基本支出决算表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表7：一般公共预算财政拨款“三公”经费支出决算表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表8：政府性基金预算财政拨款收入支出决算表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第三部分</w:t>
      </w:r>
      <w:r>
        <w:rPr>
          <w:rFonts w:hint="eastAsia" w:ascii="微软雅黑" w:hAnsi="微软雅黑" w:eastAsia="微软雅黑" w:cs="微软雅黑"/>
          <w:color w:val="333333"/>
          <w:kern w:val="0"/>
          <w:sz w:val="24"/>
          <w:szCs w:val="24"/>
          <w:shd w:val="clear" w:color="auto" w:fill="FFFFFF"/>
        </w:rPr>
        <w:t> 益阳市明山电排管理站</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w:t>
      </w:r>
      <w:r>
        <w:rPr>
          <w:rFonts w:hint="eastAsia" w:ascii="微软雅黑" w:hAnsi="微软雅黑" w:eastAsia="微软雅黑" w:cs="微软雅黑"/>
          <w:color w:val="333333"/>
          <w:kern w:val="0"/>
          <w:sz w:val="24"/>
          <w:szCs w:val="24"/>
          <w:shd w:val="clear" w:color="auto" w:fill="FFFFFF"/>
        </w:rPr>
        <w:t> </w:t>
      </w:r>
      <w:r>
        <w:rPr>
          <w:rFonts w:hint="eastAsia" w:ascii="微软雅黑" w:hAnsi="微软雅黑" w:eastAsia="微软雅黑" w:cs="微软雅黑"/>
          <w:color w:val="333333"/>
          <w:kern w:val="0"/>
          <w:sz w:val="24"/>
          <w:szCs w:val="24"/>
          <w:shd w:val="clear" w:color="auto" w:fill="FFFFFF"/>
        </w:rPr>
        <w:t>年度部门决算情况说明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一、关于益阳市明山电排管理站2018 年度收入支出决算总体情况说明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明山电排2018年度收入总计957.8万元，比上年同期减少171.3万元，减少15.2 %；支出总计938.3万元，比上年同期减少108.7万元，减少10.4%；。主要原因：2018年降雨量少，机组运行费用少，排渍电费减少。</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720" w:firstLineChars="300"/>
        <w:jc w:val="left"/>
        <w:textAlignment w:val="auto"/>
        <w:rPr>
          <w:rFonts w:hint="eastAsia" w:ascii="微软雅黑" w:hAnsi="微软雅黑" w:eastAsia="微软雅黑" w:cs="微软雅黑"/>
          <w:color w:val="333333"/>
          <w:sz w:val="24"/>
          <w:szCs w:val="24"/>
        </w:rPr>
      </w:pPr>
      <w:bookmarkStart w:id="0" w:name="_GoBack"/>
      <w:bookmarkEnd w:id="0"/>
      <w:r>
        <w:rPr>
          <w:rFonts w:hint="eastAsia" w:ascii="微软雅黑" w:hAnsi="微软雅黑" w:eastAsia="微软雅黑" w:cs="微软雅黑"/>
          <w:color w:val="333333"/>
          <w:kern w:val="0"/>
          <w:sz w:val="24"/>
          <w:szCs w:val="24"/>
          <w:shd w:val="clear" w:color="auto" w:fill="FFFFFF"/>
        </w:rPr>
        <w:t>二、关于益阳市明山电排管理站2018 年度收入决算情况说明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2018年度收入合计957.8万元，其中：财政拨款收入945.6万元，占 98.72%；事业收入12.2 万元，占1.28%。</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720" w:firstLineChars="3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三、关于益阳市明山电排管理站2018 年度支出决算情况说明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2018年度支出合计938.3万元，其中：基本支出938.3万元，占 100%。</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四、关于益阳市明山电排管理站2018 年度财政拨款收入支出决算总体情况说明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2018 年度财政拨款收入总计945.6万元，比上年同期减少159.4万元，减少14.43%；财政拨款支出总计938.3万元，比上年同期减少84.7万元，减少8.3%。主要原因：2018年降雨量少，机组运行时间少，排渍电费减少。</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五、关于益阳市明山电排管理站2018 年度一般公共预算财政拨款收入支出决算情况说明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firstLine="720" w:firstLineChars="3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（一）一般公共预算财政拨款收入支出决算总体情况。</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2018 年度一般公共预算财政拨款收入总计945.6万元，比上年同期减少159.4万元，减少14.43%；一般公共预算财政拨款支出总计938.3万元，比上年同期减少84.7万元，减少8.3%。主要原因：2018年降雨量少，机组运行时间少，排渍电费减少。</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firstLine="720" w:firstLineChars="3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（二）一般公共预算财政拨款支出决算构成情况。</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r>
        <w:rPr>
          <w:rFonts w:hint="eastAsia" w:ascii="微软雅黑" w:hAnsi="微软雅黑" w:eastAsia="微软雅黑" w:cs="微软雅黑"/>
          <w:color w:val="333333"/>
          <w:kern w:val="0"/>
          <w:sz w:val="24"/>
          <w:szCs w:val="24"/>
          <w:shd w:val="clear" w:color="auto" w:fill="FFFFFF"/>
          <w:lang w:val="en-US" w:eastAsia="zh-CN"/>
        </w:rPr>
        <w:t xml:space="preserve">    </w:t>
      </w:r>
      <w:r>
        <w:rPr>
          <w:rFonts w:hint="eastAsia" w:ascii="微软雅黑" w:hAnsi="微软雅黑" w:eastAsia="微软雅黑" w:cs="微软雅黑"/>
          <w:color w:val="333333"/>
          <w:kern w:val="0"/>
          <w:sz w:val="24"/>
          <w:szCs w:val="24"/>
          <w:shd w:val="clear" w:color="auto" w:fill="FFFFFF"/>
        </w:rPr>
        <w:t>基本支出938.3万元，占100%。</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32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1</w:t>
      </w:r>
      <w:r>
        <w:rPr>
          <w:rFonts w:hint="eastAsia" w:ascii="微软雅黑" w:hAnsi="微软雅黑" w:eastAsia="微软雅黑" w:cs="微软雅黑"/>
          <w:color w:val="333333"/>
          <w:kern w:val="0"/>
          <w:sz w:val="24"/>
          <w:szCs w:val="24"/>
          <w:shd w:val="clear" w:color="auto" w:fill="FFFFFF"/>
          <w:lang w:eastAsia="zh-CN"/>
        </w:rPr>
        <w:t>、</w:t>
      </w:r>
      <w:r>
        <w:rPr>
          <w:rFonts w:hint="eastAsia" w:ascii="微软雅黑" w:hAnsi="微软雅黑" w:eastAsia="微软雅黑" w:cs="微软雅黑"/>
          <w:color w:val="333333"/>
          <w:kern w:val="0"/>
          <w:sz w:val="24"/>
          <w:szCs w:val="24"/>
          <w:shd w:val="clear" w:color="auto" w:fill="FFFFFF"/>
        </w:rPr>
        <w:t>事业单位医疗类财政拨款支出12.6万元，主要用于社会保障缴费支出。</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w:t>
      </w:r>
      <w:r>
        <w:rPr>
          <w:rFonts w:hint="eastAsia" w:ascii="微软雅黑" w:hAnsi="微软雅黑" w:eastAsia="微软雅黑" w:cs="微软雅黑"/>
          <w:color w:val="333333"/>
          <w:kern w:val="0"/>
          <w:sz w:val="24"/>
          <w:szCs w:val="24"/>
          <w:shd w:val="clear" w:color="auto" w:fill="FFFFFF"/>
          <w:lang w:eastAsia="zh-CN"/>
        </w:rPr>
        <w:t>、</w:t>
      </w:r>
      <w:r>
        <w:rPr>
          <w:rFonts w:hint="eastAsia" w:ascii="微软雅黑" w:hAnsi="微软雅黑" w:eastAsia="微软雅黑" w:cs="微软雅黑"/>
          <w:color w:val="333333"/>
          <w:kern w:val="0"/>
          <w:sz w:val="24"/>
          <w:szCs w:val="24"/>
          <w:shd w:val="clear" w:color="auto" w:fill="FFFFFF"/>
        </w:rPr>
        <w:t>行政运行类财政拨款支出 904.4万元，主要用于工资福利支出。</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3、社会保障和就业支出4万元，主要用于抚恤。</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4、住房公积金类财政拔款支出17.3万元，主要用于公积金缴纳。</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六、关于益阳市明山电排管理站2018 年度一般公共预算财政拨款基本支出决算情况说明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 年度一般公共预算财政拨款基本支出938.3万元，其中人员经费支出451万元，主要包括：基本工资、绩效工资、社会保障缴费等；公用经费支出487.3万元，主要包括：办公费、差旅费、专用材料费、维修费等。</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七、关于益阳市明山电排管理站2018 年度政府性基金预算财政拨款支出决算情况说明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无政府性基金拔款收入和支出。</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八、关于益阳市明山电排管理站2018 年度一般公共预算财政拨款“三公”经费支出决算情况说明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 年度“三公”经费财政拨款支出预算为37万元，支出决算为9.6万元，完成预算的25.95%，其中：公务用车购置及运行费支出决算为6.3万元，完成预算的17.03%；公务接待费支出决算为3.3万元，完成预算的8.92%。2018 年度“三公”经费支出决算数小于预算数的主要原因：加强管理，厉行节约，缩减招待费用开支。</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r>
        <w:rPr>
          <w:rFonts w:hint="eastAsia" w:ascii="微软雅黑" w:hAnsi="微软雅黑" w:eastAsia="微软雅黑" w:cs="微软雅黑"/>
          <w:color w:val="333333"/>
          <w:kern w:val="0"/>
          <w:sz w:val="24"/>
          <w:szCs w:val="24"/>
          <w:shd w:val="clear" w:color="auto" w:fill="FFFFFF"/>
        </w:rPr>
        <w:t>2018 年度“三公”经费财政拨款支出决算为9.6万元，其中：因公出国（境）费支出决算为 0万元，占0%；公务用车购置及运行费支出决算为6.3万元，占65.62%；公务接待费支出决算为 3.3万元，占34.38%。2018 年度“三公”经费支出决算数小于上年决算数的主要原因：加强管理，厉行节约，缩减招待费用开支。</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1、因公出国（境）情况说明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2018年无因公出国（境）人员和费用。</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2、公务用车购置及运行经费情况说明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2018年未购置公务用车，年末车辆保有量1台，运行经费支出：6.3万元，主要用于车辆加油、维修、购买保险等。</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3、公务接待情况说明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公务接待支出3.3万元，接待支出主要用于明山、大东口两处泵站防汛检查、会务等用餐。</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九、关于 2018 年度预算绩效情况说明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rPr>
        <w:t>（</w:t>
      </w:r>
      <w:r>
        <w:rPr>
          <w:rFonts w:hint="eastAsia" w:ascii="微软雅黑" w:hAnsi="微软雅黑" w:eastAsia="微软雅黑" w:cs="微软雅黑"/>
          <w:color w:val="333333"/>
          <w:kern w:val="0"/>
          <w:sz w:val="24"/>
          <w:szCs w:val="24"/>
          <w:shd w:val="clear" w:color="auto" w:fill="FFFFFF"/>
        </w:rPr>
        <w:t>一）绩效管理工作开展情况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000000"/>
          <w:spacing w:val="15"/>
          <w:sz w:val="24"/>
          <w:szCs w:val="24"/>
          <w:shd w:val="clear" w:color="auto" w:fill="FFFFFF"/>
        </w:rPr>
      </w:pPr>
      <w:r>
        <w:rPr>
          <w:rFonts w:hint="eastAsia" w:ascii="微软雅黑" w:hAnsi="微软雅黑" w:eastAsia="微软雅黑" w:cs="微软雅黑"/>
          <w:color w:val="333333"/>
          <w:kern w:val="0"/>
          <w:sz w:val="24"/>
          <w:szCs w:val="24"/>
          <w:shd w:val="clear" w:color="auto" w:fill="FFFFFF"/>
        </w:rPr>
        <w:t>1、建立了单位层面的内控运行制约机制,</w:t>
      </w:r>
      <w:r>
        <w:rPr>
          <w:rFonts w:hint="eastAsia" w:ascii="微软雅黑" w:hAnsi="微软雅黑" w:eastAsia="微软雅黑" w:cs="微软雅黑"/>
          <w:color w:val="333333"/>
          <w:kern w:val="0"/>
          <w:sz w:val="24"/>
          <w:szCs w:val="24"/>
          <w:shd w:val="clear" w:color="auto" w:fill="FFFFFF"/>
        </w:rPr>
        <w:t>明确了主体责任，规范了工作内容，确保预算绩效评价工作有章可循，有序开展</w:t>
      </w:r>
      <w:r>
        <w:rPr>
          <w:rFonts w:hint="eastAsia" w:ascii="微软雅黑" w:hAnsi="微软雅黑" w:eastAsia="微软雅黑" w:cs="微软雅黑"/>
          <w:color w:val="333333"/>
          <w:kern w:val="0"/>
          <w:sz w:val="24"/>
          <w:szCs w:val="24"/>
          <w:shd w:val="clear" w:color="auto" w:fill="FFFFFF"/>
        </w:rPr>
        <w:t>。主要包括：内控管理职责分工、经济活动决策机制、关键岗位责任机制、关键人员资质能力、财务信息编报要求、信息技术应用要求、经济活动风险评估、内部控制监督评价等。</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2、梳理了单位主要经济业务管理制度及流程。针对预算管理、收支管理、政府采购管理、资产管理、基建项目管理、合同管理等6个业务模块进行了流程梳理，制定了相关的管理制度，以及流程图。</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3、</w:t>
      </w:r>
      <w:r>
        <w:rPr>
          <w:rFonts w:hint="eastAsia" w:ascii="微软雅黑" w:hAnsi="微软雅黑" w:eastAsia="微软雅黑" w:cs="微软雅黑"/>
          <w:color w:val="333333"/>
          <w:kern w:val="0"/>
          <w:sz w:val="24"/>
          <w:szCs w:val="24"/>
          <w:shd w:val="clear" w:color="auto" w:fill="FFFFFF"/>
        </w:rPr>
        <w:t>从单纯的事后绩效评价转变为与开展绩效目标管理、事前评估、事中绩效监控相结合的预算绩效管理方式，把预算编制与部门发展规划和绩效目标联系起来，并进行跟踪问效。</w:t>
      </w:r>
      <w:r>
        <w:rPr>
          <w:rFonts w:hint="eastAsia" w:ascii="微软雅黑" w:hAnsi="微软雅黑" w:eastAsia="微软雅黑" w:cs="微软雅黑"/>
          <w:color w:val="333333"/>
          <w:kern w:val="0"/>
          <w:sz w:val="24"/>
          <w:szCs w:val="24"/>
          <w:shd w:val="clear" w:color="auto" w:fill="FFFFFF"/>
        </w:rPr>
        <w:t>汇编内控管理工作手册分为总则、单位层面内部控制制度、业务层面内部控制制度、流程图、内部控制评价与监督五个部分，</w:t>
      </w:r>
      <w:r>
        <w:rPr>
          <w:rFonts w:hint="eastAsia" w:ascii="微软雅黑" w:hAnsi="微软雅黑" w:eastAsia="微软雅黑" w:cs="微软雅黑"/>
          <w:color w:val="333333"/>
          <w:kern w:val="0"/>
          <w:sz w:val="24"/>
          <w:szCs w:val="24"/>
          <w:shd w:val="clear" w:color="auto" w:fill="FFFFFF"/>
        </w:rPr>
        <w:t>逐步形成自我约束、内部规范的良性机制，提高了管理水平和资金使用效益。</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（二）部门决算中项目绩效自评结果：优秀</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（三）预算绩效情况的说明：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通过绩效评价政策落实对部门整体支出和项目支出的经济、效率、效益情况进行全面分析和纵向比较。年初制订工作计划，并对费用的支出进行预算。明确专人负责绩效自评工作。按期考核、核实数据、查阅资料、归纳汇总、形成绩效评价报告，通过绩效评价的结果确定下一阶段的指标并依此合理分配</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"https://baike.baidu.com/item/%E8%B5%84%E6%BA%90" \t "http://www.yiyang.gov.cn/yiyang/6438/6439/6440/6444/6557/_blank"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333333"/>
          <w:kern w:val="0"/>
          <w:sz w:val="24"/>
          <w:szCs w:val="24"/>
          <w:shd w:val="clear" w:color="auto" w:fill="FFFFFF"/>
        </w:rPr>
        <w:t>资源</w:t>
      </w:r>
      <w:r>
        <w:rPr>
          <w:rFonts w:hint="eastAsia" w:ascii="微软雅黑" w:hAnsi="微软雅黑" w:eastAsia="微软雅黑" w:cs="微软雅黑"/>
          <w:color w:val="333333"/>
          <w:kern w:val="0"/>
          <w:sz w:val="24"/>
          <w:szCs w:val="24"/>
          <w:shd w:val="clear" w:color="auto" w:fill="FFFFFF"/>
        </w:rPr>
        <w:fldChar w:fldCharType="end"/>
      </w:r>
      <w:r>
        <w:rPr>
          <w:rFonts w:hint="eastAsia" w:ascii="微软雅黑" w:hAnsi="微软雅黑" w:eastAsia="微软雅黑" w:cs="微软雅黑"/>
          <w:color w:val="333333"/>
          <w:kern w:val="0"/>
          <w:sz w:val="24"/>
          <w:szCs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kern w:val="0"/>
          <w:sz w:val="24"/>
          <w:szCs w:val="24"/>
          <w:shd w:val="clear" w:color="auto" w:fill="FFFFFF"/>
        </w:rPr>
      </w:pPr>
      <w:r>
        <w:rPr>
          <w:rFonts w:hint="eastAsia" w:ascii="微软雅黑" w:hAnsi="微软雅黑" w:eastAsia="微软雅黑" w:cs="微软雅黑"/>
          <w:color w:val="333333"/>
          <w:kern w:val="0"/>
          <w:sz w:val="24"/>
          <w:szCs w:val="24"/>
          <w:shd w:val="clear" w:color="auto" w:fill="FFFFFF"/>
        </w:rPr>
        <w:t>十、其他重要事项的情况说明</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（一）预决算收支增减变化情况。</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2018年预算收入905.2万元，其中公共财政预算拔款893.04万元，财政专户拨款12.16万元；决算收入</w:t>
      </w:r>
      <w:r>
        <w:rPr>
          <w:rFonts w:hint="eastAsia" w:ascii="微软雅黑" w:hAnsi="微软雅黑" w:eastAsia="微软雅黑" w:cs="微软雅黑"/>
          <w:color w:val="333333"/>
          <w:kern w:val="0"/>
          <w:sz w:val="24"/>
          <w:szCs w:val="24"/>
          <w:shd w:val="clear" w:color="auto" w:fill="FFFFFF"/>
        </w:rPr>
        <w:t>957.79万元，其中：公共财政拨款收入945.63万元，事业收入12.16万元。</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（二）机关运行经费支出情况。</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本单位为事业单位，未统计机关运行经费支出。</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（三）政府采购支出情况。</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本单位</w:t>
      </w:r>
      <w:r>
        <w:rPr>
          <w:rFonts w:hint="eastAsia" w:ascii="微软雅黑" w:hAnsi="微软雅黑" w:eastAsia="微软雅黑" w:cs="微软雅黑"/>
          <w:color w:val="333333"/>
          <w:kern w:val="0"/>
          <w:sz w:val="24"/>
          <w:szCs w:val="24"/>
          <w:shd w:val="clear" w:color="auto" w:fill="FFFFFF"/>
        </w:rPr>
        <w:t>2018</w:t>
      </w:r>
      <w:r>
        <w:rPr>
          <w:rFonts w:hint="eastAsia" w:ascii="微软雅黑" w:hAnsi="微软雅黑" w:eastAsia="微软雅黑" w:cs="微软雅黑"/>
          <w:color w:val="333333"/>
          <w:kern w:val="0"/>
          <w:sz w:val="24"/>
          <w:szCs w:val="24"/>
          <w:shd w:val="clear" w:color="auto" w:fill="FFFFFF"/>
        </w:rPr>
        <w:t>年度没有政府采购</w:t>
      </w:r>
      <w:r>
        <w:rPr>
          <w:rFonts w:hint="eastAsia" w:ascii="微软雅黑" w:hAnsi="微软雅黑" w:eastAsia="微软雅黑" w:cs="微软雅黑"/>
          <w:color w:val="333333"/>
          <w:kern w:val="0"/>
          <w:sz w:val="24"/>
          <w:szCs w:val="24"/>
          <w:shd w:val="clear" w:color="auto" w:fill="FFFFFF"/>
        </w:rPr>
        <w:t>支出。</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（四）国有资产占用情况。</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96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截至</w:t>
      </w:r>
      <w:r>
        <w:rPr>
          <w:rFonts w:hint="eastAsia" w:ascii="微软雅黑" w:hAnsi="微软雅黑" w:eastAsia="微软雅黑" w:cs="微软雅黑"/>
          <w:color w:val="333333"/>
          <w:kern w:val="0"/>
          <w:sz w:val="24"/>
          <w:szCs w:val="24"/>
          <w:shd w:val="clear" w:color="auto" w:fill="FFFFFF"/>
        </w:rPr>
        <w:t>2018</w:t>
      </w:r>
      <w:r>
        <w:rPr>
          <w:rFonts w:hint="eastAsia" w:ascii="微软雅黑" w:hAnsi="微软雅黑" w:eastAsia="微软雅黑" w:cs="微软雅黑"/>
          <w:color w:val="333333"/>
          <w:kern w:val="0"/>
          <w:sz w:val="24"/>
          <w:szCs w:val="24"/>
          <w:shd w:val="clear" w:color="auto" w:fill="FFFFFF"/>
        </w:rPr>
        <w:t>年12月31日，本单位共有车辆1辆，为一般公务用车，单位价值200万元以上专用设备6台(套），为同步电机和立式轴流泵。</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center"/>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第四部分</w:t>
      </w:r>
      <w:r>
        <w:rPr>
          <w:rFonts w:hint="eastAsia" w:ascii="微软雅黑" w:hAnsi="微软雅黑" w:eastAsia="微软雅黑" w:cs="微软雅黑"/>
          <w:color w:val="333333"/>
          <w:kern w:val="0"/>
          <w:sz w:val="24"/>
          <w:szCs w:val="24"/>
          <w:shd w:val="clear" w:color="auto" w:fill="FFFFFF"/>
        </w:rPr>
        <w:t> </w:t>
      </w:r>
      <w:r>
        <w:rPr>
          <w:rFonts w:hint="eastAsia" w:ascii="微软雅黑" w:hAnsi="微软雅黑" w:eastAsia="微软雅黑" w:cs="微软雅黑"/>
          <w:color w:val="333333"/>
          <w:kern w:val="0"/>
          <w:sz w:val="24"/>
          <w:szCs w:val="24"/>
          <w:shd w:val="clear" w:color="auto" w:fill="FFFFFF"/>
        </w:rPr>
        <w:t>名词解释</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一、财政拨款收入：</w:t>
      </w:r>
      <w:r>
        <w:rPr>
          <w:rFonts w:hint="eastAsia" w:ascii="微软雅黑" w:hAnsi="微软雅黑" w:eastAsia="微软雅黑" w:cs="微软雅黑"/>
          <w:color w:val="333333"/>
          <w:kern w:val="0"/>
          <w:sz w:val="24"/>
          <w:szCs w:val="24"/>
          <w:shd w:val="clear" w:color="auto" w:fill="FFFFFF"/>
        </w:rPr>
        <w:t>指中央财政当年拨付的资金。</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二、事业收入：</w:t>
      </w:r>
      <w:r>
        <w:rPr>
          <w:rFonts w:hint="eastAsia" w:ascii="微软雅黑" w:hAnsi="微软雅黑" w:eastAsia="微软雅黑" w:cs="微软雅黑"/>
          <w:color w:val="333333"/>
          <w:kern w:val="0"/>
          <w:sz w:val="24"/>
          <w:szCs w:val="24"/>
          <w:shd w:val="clear" w:color="auto" w:fill="FFFFFF"/>
        </w:rPr>
        <w:t>指事业单位开展专业业务活动及辅助活动所取得的收入。如：中国财政杂志社的刊物发行收入，中国注册会计师协会、中国资产评估协会、中国国债协会、中国会计学会收取的会费收入等。</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三、经营收入：</w:t>
      </w:r>
      <w:r>
        <w:rPr>
          <w:rFonts w:hint="eastAsia" w:ascii="微软雅黑" w:hAnsi="微软雅黑" w:eastAsia="微软雅黑" w:cs="微软雅黑"/>
          <w:color w:val="333333"/>
          <w:kern w:val="0"/>
          <w:sz w:val="24"/>
          <w:szCs w:val="24"/>
          <w:shd w:val="clear" w:color="auto" w:fill="FFFFFF"/>
        </w:rPr>
        <w:t>指事业单位在专业业务活动及其辅助活动之外开展非独立核算经营活动取得的收入。如：中国财政杂志社广告收入等。</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四、其他收入：</w:t>
      </w:r>
      <w:r>
        <w:rPr>
          <w:rFonts w:hint="eastAsia" w:ascii="微软雅黑" w:hAnsi="微软雅黑" w:eastAsia="微软雅黑" w:cs="微软雅黑"/>
          <w:color w:val="333333"/>
          <w:kern w:val="0"/>
          <w:sz w:val="24"/>
          <w:szCs w:val="24"/>
          <w:shd w:val="clear" w:color="auto" w:fill="FFFFFF"/>
        </w:rPr>
        <w:t>指除上述“财政拨款收入” 、 “事业收入” 、“经营收入”等以外的收入。主要是按规定动用的售房收入、存款利息收入等。</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五、用事业基金弥补收支差额：</w:t>
      </w:r>
      <w:r>
        <w:rPr>
          <w:rFonts w:hint="eastAsia" w:ascii="微软雅黑" w:hAnsi="微软雅黑" w:eastAsia="微软雅黑" w:cs="微软雅黑"/>
          <w:color w:val="333333"/>
          <w:kern w:val="0"/>
          <w:sz w:val="24"/>
          <w:szCs w:val="24"/>
          <w:shd w:val="clear" w:color="auto" w:fill="FFFFFF"/>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六、年初结转和结余：</w:t>
      </w:r>
      <w:r>
        <w:rPr>
          <w:rFonts w:hint="eastAsia" w:ascii="微软雅黑" w:hAnsi="微软雅黑" w:eastAsia="微软雅黑" w:cs="微软雅黑"/>
          <w:color w:val="333333"/>
          <w:kern w:val="0"/>
          <w:sz w:val="24"/>
          <w:szCs w:val="24"/>
          <w:shd w:val="clear" w:color="auto" w:fill="FFFFFF"/>
        </w:rPr>
        <w:t>指以前年度尚未完成、结转到本年按有关规定继续使用的资金。</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七、结余分配：</w:t>
      </w:r>
      <w:r>
        <w:rPr>
          <w:rFonts w:hint="eastAsia" w:ascii="微软雅黑" w:hAnsi="微软雅黑" w:eastAsia="微软雅黑" w:cs="微软雅黑"/>
          <w:color w:val="333333"/>
          <w:kern w:val="0"/>
          <w:sz w:val="24"/>
          <w:szCs w:val="24"/>
          <w:shd w:val="clear" w:color="auto" w:fill="FFFFFF"/>
        </w:rPr>
        <w:t>指事业单位按规定提取的职工福利基金、事业基金和缴纳的所得税，以及建设单位按规定应交回的基本建设竣工项目结余资金。</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八、年末结转和结余：</w:t>
      </w:r>
      <w:r>
        <w:rPr>
          <w:rFonts w:hint="eastAsia" w:ascii="微软雅黑" w:hAnsi="微软雅黑" w:eastAsia="微软雅黑" w:cs="微软雅黑"/>
          <w:color w:val="333333"/>
          <w:kern w:val="0"/>
          <w:sz w:val="24"/>
          <w:szCs w:val="24"/>
          <w:shd w:val="clear" w:color="auto" w:fill="FFFFFF"/>
        </w:rPr>
        <w:t>指本年度或以前年度预算安排、因客观条件发生变化无法按原计划实施，需要延迟到以后年度按有关规定继续使用的资金。</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九、基本支出：</w:t>
      </w:r>
      <w:r>
        <w:rPr>
          <w:rFonts w:hint="eastAsia" w:ascii="微软雅黑" w:hAnsi="微软雅黑" w:eastAsia="微软雅黑" w:cs="微软雅黑"/>
          <w:color w:val="333333"/>
          <w:kern w:val="0"/>
          <w:sz w:val="24"/>
          <w:szCs w:val="24"/>
          <w:shd w:val="clear" w:color="auto" w:fill="FFFFFF"/>
        </w:rPr>
        <w:t>指为保障机构正常运转、完成日常工</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color="auto" w:fill="FFFFFF"/>
        </w:rPr>
        <w:t>作任务而发生的人员支出和公用支出。</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十、项目支出：</w:t>
      </w:r>
      <w:r>
        <w:rPr>
          <w:rFonts w:hint="eastAsia" w:ascii="微软雅黑" w:hAnsi="微软雅黑" w:eastAsia="微软雅黑" w:cs="微软雅黑"/>
          <w:color w:val="333333"/>
          <w:kern w:val="0"/>
          <w:sz w:val="24"/>
          <w:szCs w:val="24"/>
          <w:shd w:val="clear" w:color="auto" w:fill="FFFFFF"/>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十一、经营支出：</w:t>
      </w:r>
      <w:r>
        <w:rPr>
          <w:rFonts w:hint="eastAsia" w:ascii="微软雅黑" w:hAnsi="微软雅黑" w:eastAsia="微软雅黑" w:cs="微软雅黑"/>
          <w:color w:val="333333"/>
          <w:kern w:val="0"/>
          <w:sz w:val="24"/>
          <w:szCs w:val="24"/>
          <w:shd w:val="clear" w:color="auto" w:fill="FFFFFF"/>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57" w:afterLines="50" w:line="600" w:lineRule="exact"/>
        <w:ind w:left="420" w:leftChars="200" w:firstLine="643"/>
        <w:jc w:val="lef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shd w:val="clear" w:color="auto" w:fill="FFFFFF"/>
        </w:rPr>
        <w:t>十二、“三公”经费：</w:t>
      </w:r>
      <w:r>
        <w:rPr>
          <w:rFonts w:hint="eastAsia" w:ascii="微软雅黑" w:hAnsi="微软雅黑" w:eastAsia="微软雅黑" w:cs="微软雅黑"/>
          <w:color w:val="333333"/>
          <w:kern w:val="0"/>
          <w:sz w:val="24"/>
          <w:szCs w:val="24"/>
          <w:shd w:val="clear" w:color="auto" w:fill="FFFFFF"/>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before="10" w:after="157" w:afterLines="50" w:line="600" w:lineRule="exact"/>
        <w:ind w:left="420" w:leftChars="200"/>
        <w:textAlignment w:val="auto"/>
        <w:rPr>
          <w:rFonts w:hint="eastAsia" w:ascii="微软雅黑" w:hAnsi="微软雅黑" w:eastAsia="微软雅黑" w:cs="微软雅黑"/>
          <w:sz w:val="24"/>
          <w:szCs w:val="24"/>
        </w:rPr>
      </w:pPr>
    </w:p>
    <w:sectPr>
      <w:pgSz w:w="11906" w:h="16838"/>
      <w:pgMar w:top="1701" w:right="1134"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3D14AA8"/>
    <w:rsid w:val="0033431A"/>
    <w:rsid w:val="004952EB"/>
    <w:rsid w:val="04303F7A"/>
    <w:rsid w:val="08FE45E3"/>
    <w:rsid w:val="15FE1E4C"/>
    <w:rsid w:val="25E0777C"/>
    <w:rsid w:val="271E79BA"/>
    <w:rsid w:val="2CEC0EC3"/>
    <w:rsid w:val="33D14AA8"/>
    <w:rsid w:val="349D7005"/>
    <w:rsid w:val="4E3C3759"/>
    <w:rsid w:val="58CC355E"/>
    <w:rsid w:val="6A1E536A"/>
    <w:rsid w:val="72F7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532</Words>
  <Characters>3034</Characters>
  <Lines>25</Lines>
  <Paragraphs>7</Paragraphs>
  <TotalTime>1</TotalTime>
  <ScaleCrop>false</ScaleCrop>
  <LinksUpToDate>false</LinksUpToDate>
  <CharactersWithSpaces>3559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2019-07-28T01:45:00Z</dcterms:created>
  <dc:creator>苏文瑶</dc:creator>
  <cp:lastModifiedBy>Administrator</cp:lastModifiedBy>
  <dcterms:modified xsi:type="dcterms:W3CDTF">2020-01-20T03:23:57Z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