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center"/>
        <w:textAlignment w:val="baseline"/>
        <w:rPr>
          <w:rStyle w:val="7"/>
          <w:rFonts w:hint="eastAsia" w:ascii="微软雅黑" w:hAnsi="微软雅黑" w:eastAsia="微软雅黑" w:cs="微软雅黑"/>
          <w:color w:val="333333"/>
          <w:sz w:val="24"/>
          <w:szCs w:val="24"/>
        </w:rPr>
      </w:pPr>
      <w:r>
        <w:rPr>
          <w:rStyle w:val="7"/>
          <w:rFonts w:hint="eastAsia" w:ascii="微软雅黑" w:hAnsi="微软雅黑" w:eastAsia="微软雅黑" w:cs="微软雅黑"/>
          <w:b w:val="0"/>
          <w:bCs w:val="0"/>
          <w:color w:val="333333"/>
          <w:sz w:val="24"/>
          <w:szCs w:val="24"/>
        </w:rPr>
        <w:t>益阳市砂石市场管理办公室2018年部门决算公开</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center"/>
        <w:textAlignment w:val="baseline"/>
        <w:rPr>
          <w:rStyle w:val="7"/>
          <w:rFonts w:hint="eastAsia" w:ascii="微软雅黑" w:hAnsi="微软雅黑" w:eastAsia="微软雅黑" w:cs="微软雅黑"/>
          <w:color w:val="333333"/>
          <w:sz w:val="24"/>
          <w:szCs w:val="24"/>
        </w:rPr>
      </w:pPr>
      <w:r>
        <w:rPr>
          <w:rStyle w:val="7"/>
          <w:rFonts w:hint="eastAsia" w:ascii="微软雅黑" w:hAnsi="微软雅黑" w:eastAsia="微软雅黑" w:cs="微软雅黑"/>
          <w:color w:val="333333"/>
          <w:sz w:val="24"/>
          <w:szCs w:val="24"/>
        </w:rPr>
        <w:t>目   录</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both"/>
        <w:textAlignment w:val="baseline"/>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color w:val="333333"/>
          <w:sz w:val="24"/>
          <w:szCs w:val="24"/>
        </w:rPr>
        <w:t>第一部分 益阳市砂石市场管理办公室概况</w:t>
      </w:r>
      <w:r>
        <w:rPr>
          <w:rFonts w:hint="eastAsia" w:ascii="微软雅黑" w:hAnsi="微软雅黑" w:eastAsia="微软雅黑" w:cs="微软雅黑"/>
          <w:b w:val="0"/>
          <w:bCs w:val="0"/>
          <w:color w:val="333333"/>
          <w:sz w:val="24"/>
          <w:szCs w:val="24"/>
        </w:rPr>
        <w:br w:type="textWrapping"/>
      </w:r>
      <w:r>
        <w:rPr>
          <w:rFonts w:hint="eastAsia" w:ascii="微软雅黑" w:hAnsi="微软雅黑" w:eastAsia="微软雅黑" w:cs="微软雅黑"/>
          <w:b w:val="0"/>
          <w:bCs w:val="0"/>
          <w:color w:val="333333"/>
          <w:sz w:val="24"/>
          <w:szCs w:val="24"/>
        </w:rPr>
        <w:t>一、主要职能</w:t>
      </w:r>
    </w:p>
    <w:p>
      <w:pPr>
        <w:pStyle w:val="4"/>
        <w:keepNext w:val="0"/>
        <w:keepLines w:val="0"/>
        <w:pageBreakBefore w:val="0"/>
        <w:numPr>
          <w:ilvl w:val="0"/>
          <w:numId w:val="1"/>
        </w:numPr>
        <w:kinsoku/>
        <w:wordWrap/>
        <w:overflowPunct/>
        <w:topLinePunct w:val="0"/>
        <w:bidi w:val="0"/>
        <w:snapToGrid/>
        <w:spacing w:before="157" w:beforeLines="50" w:beforeAutospacing="0" w:after="157" w:afterLines="50" w:afterAutospacing="0" w:line="600" w:lineRule="exact"/>
        <w:ind w:left="420" w:left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b w:val="0"/>
          <w:bCs w:val="0"/>
          <w:color w:val="333333"/>
          <w:sz w:val="24"/>
          <w:szCs w:val="24"/>
        </w:rPr>
        <w:t>机构设置</w:t>
      </w:r>
      <w:r>
        <w:rPr>
          <w:rFonts w:hint="eastAsia" w:ascii="微软雅黑" w:hAnsi="微软雅黑" w:eastAsia="微软雅黑" w:cs="微软雅黑"/>
          <w:b w:val="0"/>
          <w:bCs w:val="0"/>
          <w:color w:val="333333"/>
          <w:sz w:val="24"/>
          <w:szCs w:val="24"/>
        </w:rPr>
        <w:br w:type="textWrapping"/>
      </w:r>
      <w:r>
        <w:rPr>
          <w:rFonts w:hint="eastAsia" w:ascii="微软雅黑" w:hAnsi="微软雅黑" w:eastAsia="微软雅黑" w:cs="微软雅黑"/>
          <w:b w:val="0"/>
          <w:bCs w:val="0"/>
          <w:color w:val="333333"/>
          <w:sz w:val="24"/>
          <w:szCs w:val="24"/>
        </w:rPr>
        <w:t>三、部门决算单位构成</w:t>
      </w:r>
      <w:r>
        <w:rPr>
          <w:rFonts w:hint="eastAsia" w:ascii="微软雅黑" w:hAnsi="微软雅黑" w:eastAsia="微软雅黑" w:cs="微软雅黑"/>
          <w:b w:val="0"/>
          <w:bCs w:val="0"/>
          <w:color w:val="333333"/>
          <w:sz w:val="24"/>
          <w:szCs w:val="24"/>
        </w:rPr>
        <w:br w:type="textWrapping"/>
      </w:r>
      <w:r>
        <w:rPr>
          <w:rFonts w:hint="eastAsia" w:ascii="微软雅黑" w:hAnsi="微软雅黑" w:eastAsia="微软雅黑" w:cs="微软雅黑"/>
          <w:b w:val="0"/>
          <w:bCs w:val="0"/>
          <w:color w:val="333333"/>
          <w:sz w:val="24"/>
          <w:szCs w:val="24"/>
        </w:rPr>
        <w:t>第二部分 益阳市砂石市场管理办公室2018年度部门决算表</w:t>
      </w:r>
      <w:r>
        <w:rPr>
          <w:rFonts w:hint="eastAsia" w:ascii="微软雅黑" w:hAnsi="微软雅黑" w:eastAsia="微软雅黑" w:cs="微软雅黑"/>
          <w:b w:val="0"/>
          <w:bCs w:val="0"/>
          <w:color w:val="333333"/>
          <w:sz w:val="24"/>
          <w:szCs w:val="24"/>
        </w:rPr>
        <w:br w:type="textWrapping"/>
      </w:r>
      <w:r>
        <w:rPr>
          <w:rFonts w:hint="eastAsia" w:ascii="微软雅黑" w:hAnsi="微软雅黑" w:eastAsia="微软雅黑" w:cs="微软雅黑"/>
          <w:color w:val="333333"/>
          <w:sz w:val="24"/>
          <w:szCs w:val="24"/>
        </w:rPr>
        <w:t>一、收入支出决算总表</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二、收入决算表</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三、支出决算表</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四、财政拨款收入支出决算总表</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五、一般公共预算财政拨款支出决算表</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六、一般公共预算财政拨款基本支出决算表</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七、一般公共预算财政拨款“三公”经费支出决算表</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八、政府性基金预算财政拨款收入支出决算表</w:t>
      </w:r>
    </w:p>
    <w:p>
      <w:pPr>
        <w:keepNext w:val="0"/>
        <w:keepLines w:val="0"/>
        <w:pageBreakBefore w:val="0"/>
        <w:kinsoku/>
        <w:wordWrap/>
        <w:overflowPunct/>
        <w:topLinePunct w:val="0"/>
        <w:bidi w:val="0"/>
        <w:snapToGrid/>
        <w:spacing w:before="157" w:beforeLines="50" w:after="157" w:afterLines="50" w:line="600" w:lineRule="exact"/>
        <w:ind w:left="420"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九、关于 2018 年度预算绩效情况说明</w:t>
      </w:r>
    </w:p>
    <w:p>
      <w:pPr>
        <w:keepNext w:val="0"/>
        <w:keepLines w:val="0"/>
        <w:pageBreakBefore w:val="0"/>
        <w:kinsoku/>
        <w:wordWrap/>
        <w:overflowPunct/>
        <w:topLinePunct w:val="0"/>
        <w:bidi w:val="0"/>
        <w:snapToGrid/>
        <w:spacing w:before="157" w:beforeLines="50" w:after="157" w:afterLines="50" w:line="600" w:lineRule="exact"/>
        <w:ind w:left="420" w:leftChars="200"/>
        <w:rPr>
          <w:rFonts w:hint="eastAsia" w:ascii="微软雅黑" w:hAnsi="微软雅黑" w:eastAsia="微软雅黑" w:cs="微软雅黑"/>
          <w:b w:val="0"/>
          <w:bCs w:val="0"/>
          <w:color w:val="333333"/>
          <w:sz w:val="24"/>
          <w:szCs w:val="24"/>
        </w:rPr>
      </w:pPr>
      <w:r>
        <w:rPr>
          <w:rFonts w:hint="eastAsia" w:ascii="微软雅黑" w:hAnsi="微软雅黑" w:eastAsia="微软雅黑" w:cs="微软雅黑"/>
          <w:color w:val="333333"/>
          <w:kern w:val="0"/>
          <w:sz w:val="24"/>
          <w:szCs w:val="24"/>
          <w:lang w:val="en-US" w:eastAsia="zh-CN" w:bidi="ar-SA"/>
        </w:rPr>
        <w:t>十、其他重要事项的情况说明</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b w:val="0"/>
          <w:bCs w:val="0"/>
          <w:color w:val="333333"/>
          <w:sz w:val="24"/>
          <w:szCs w:val="24"/>
        </w:rPr>
        <w:t>第三部分 益阳市砂石市场管理办公室2018年度部门决算情况说明</w:t>
      </w:r>
      <w:r>
        <w:rPr>
          <w:rFonts w:hint="eastAsia" w:ascii="微软雅黑" w:hAnsi="微软雅黑" w:eastAsia="微软雅黑" w:cs="微软雅黑"/>
          <w:b w:val="0"/>
          <w:bCs w:val="0"/>
          <w:color w:val="333333"/>
          <w:sz w:val="24"/>
          <w:szCs w:val="24"/>
        </w:rPr>
        <w:br w:type="textWrapping"/>
      </w:r>
      <w:r>
        <w:rPr>
          <w:rFonts w:hint="eastAsia" w:ascii="微软雅黑" w:hAnsi="微软雅黑" w:eastAsia="微软雅黑" w:cs="微软雅黑"/>
          <w:b w:val="0"/>
          <w:bCs w:val="0"/>
          <w:color w:val="333333"/>
          <w:sz w:val="24"/>
          <w:szCs w:val="24"/>
        </w:rPr>
        <w:t>第四部分 名词解释</w:t>
      </w:r>
      <w:r>
        <w:rPr>
          <w:rFonts w:hint="eastAsia" w:ascii="微软雅黑" w:hAnsi="微软雅黑" w:eastAsia="微软雅黑" w:cs="微软雅黑"/>
          <w:b w:val="0"/>
          <w:bCs w:val="0"/>
          <w:color w:val="333333"/>
          <w:sz w:val="24"/>
          <w:szCs w:val="24"/>
        </w:rPr>
        <w:br w:type="textWrapping"/>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center"/>
        <w:textAlignment w:val="baseline"/>
        <w:rPr>
          <w:rStyle w:val="7"/>
          <w:rFonts w:hint="eastAsia" w:ascii="微软雅黑" w:hAnsi="微软雅黑" w:eastAsia="微软雅黑" w:cs="微软雅黑"/>
          <w:color w:val="333333"/>
          <w:sz w:val="24"/>
          <w:szCs w:val="24"/>
        </w:rPr>
      </w:pPr>
      <w:r>
        <w:rPr>
          <w:rStyle w:val="7"/>
          <w:rFonts w:hint="eastAsia" w:ascii="微软雅黑" w:hAnsi="微软雅黑" w:eastAsia="微软雅黑" w:cs="微软雅黑"/>
          <w:color w:val="333333"/>
          <w:sz w:val="24"/>
          <w:szCs w:val="24"/>
        </w:rPr>
        <w:t>第一部分 益阳市砂石市场管理办公室概况</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b/>
          <w:bCs/>
          <w:color w:val="333333"/>
          <w:sz w:val="24"/>
          <w:szCs w:val="24"/>
        </w:rPr>
        <w:t>一、主要职能</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益阳市砂石市场管理办公室为益阳市水务局的二级机构，其主要职责：协助资江城区段河道采砂管理，负责城区砂石市场管理的牵头工作，维护砂石经营市场秩序。</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b/>
          <w:bCs/>
          <w:color w:val="333333"/>
          <w:sz w:val="24"/>
          <w:szCs w:val="24"/>
        </w:rPr>
      </w:pPr>
      <w:r>
        <w:rPr>
          <w:rFonts w:hint="eastAsia" w:ascii="微软雅黑" w:hAnsi="微软雅黑" w:eastAsia="微软雅黑" w:cs="微软雅黑"/>
          <w:b/>
          <w:bCs/>
          <w:color w:val="333333"/>
          <w:sz w:val="24"/>
          <w:szCs w:val="24"/>
        </w:rPr>
        <w:t>二、机构设置</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本单位下设为主任室、副主任室、综合组、砂场巡查组、禁采巡查组。</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b/>
          <w:bCs/>
          <w:color w:val="333333"/>
          <w:sz w:val="24"/>
          <w:szCs w:val="24"/>
        </w:rPr>
      </w:pPr>
      <w:r>
        <w:rPr>
          <w:rFonts w:hint="eastAsia" w:ascii="微软雅黑" w:hAnsi="微软雅黑" w:eastAsia="微软雅黑" w:cs="微软雅黑"/>
          <w:b/>
          <w:bCs/>
          <w:color w:val="333333"/>
          <w:sz w:val="24"/>
          <w:szCs w:val="24"/>
        </w:rPr>
        <w:t>三、部门决算单位构成</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只有本单位决算，无下属机构</w:t>
      </w:r>
      <w:r>
        <w:rPr>
          <w:rFonts w:hint="eastAsia" w:ascii="微软雅黑" w:hAnsi="微软雅黑" w:eastAsia="微软雅黑" w:cs="微软雅黑"/>
          <w:color w:val="333333"/>
          <w:sz w:val="24"/>
          <w:szCs w:val="24"/>
          <w:lang w:eastAsia="zh-CN"/>
        </w:rPr>
        <w:t>。</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center"/>
        <w:textAlignment w:val="baseline"/>
        <w:rPr>
          <w:rStyle w:val="7"/>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rPr>
        <w:br w:type="textWrapping"/>
      </w:r>
      <w:r>
        <w:rPr>
          <w:rStyle w:val="7"/>
          <w:rFonts w:hint="eastAsia" w:ascii="微软雅黑" w:hAnsi="微软雅黑" w:eastAsia="微软雅黑" w:cs="微软雅黑"/>
          <w:color w:val="333333"/>
          <w:sz w:val="24"/>
          <w:szCs w:val="24"/>
        </w:rPr>
        <w:t>第二部分 益阳市砂石市场管理办公室2018年度部门决算表</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公开01表：收入支出决算总表</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公开02表：收入决算表</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公开03表：支出决算表</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公开04表：财政拨款收入支出决算总表</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公开05表：一般公共预算财政拨款支出决算表</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公开06表：一般公共预算财政拨款基本支出决算表</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公开07表：一般公共预算财政拨款“三公”经费支出决算表</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公开08表：政府性基金预算财政拨款收入支出决算表</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表8无数据，本单位没有政府性基金收入也没有政府性基金安排的支出，故本表无数据。</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center"/>
        <w:textAlignment w:val="baseline"/>
        <w:rPr>
          <w:rStyle w:val="7"/>
          <w:rFonts w:hint="eastAsia" w:ascii="微软雅黑" w:hAnsi="微软雅黑" w:eastAsia="微软雅黑" w:cs="微软雅黑"/>
          <w:color w:val="333333"/>
          <w:sz w:val="24"/>
          <w:szCs w:val="24"/>
        </w:rPr>
      </w:pPr>
      <w:r>
        <w:rPr>
          <w:rStyle w:val="7"/>
          <w:rFonts w:hint="eastAsia" w:ascii="微软雅黑" w:hAnsi="微软雅黑" w:eastAsia="微软雅黑" w:cs="微软雅黑"/>
          <w:color w:val="333333"/>
          <w:sz w:val="24"/>
          <w:szCs w:val="24"/>
        </w:rPr>
        <w:t>第三部分  益阳市砂石市场管理办公室2018年度部门决算情况说明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一、关于益阳市砂石市场管理办公室2018年度收入支出决算总体情况说明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益阳市砂石市场管理办公室2018 年度收入总计282.95万元，比上年同期减少了64.71万元，减少了18.61%，支出总计284.63万元，比上年同期减少了112.51万元，减少了28.33%。主要原因：减少了2017年赫山羊角小河口防汛抢险开支 。</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二、关于益阳市砂石市场管理办公室2018年度收入决算情况说明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2018年度收入合计282.95万元，其中：财政拨款收入282.95万元，占 100%。</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三、关于益阳市砂石市场管理办公室2018年度支出决算情况说明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2018年度支出合计284.63万元，其中：基本支出284.63万元，占100%。</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四、关于益阳市砂石市场管理办公室2018年度财政拨款收入支出决算总体情况说明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2018年度财政拨款收入总计282.95万元，比上年同期减少了64.71万元，减少了18.61%，财政拨款支出总计284.63万元，上年同期减少了112.51万元，减少了28.33%。主要原因：减少了2017年赫山羊角小河口防汛抢险开支 。</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五、关于益阳市砂石市场管理办公室2018年度一般公共预算财政拨款收入支出决算情况说明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360" w:firstLineChars="15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（一）一般公共预算财政拨款收入支出决算总体情况。</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2018年度一般公共预算财政拨款总计282.95万元，比上年同期减少了64.71万元，减少了18.61%.财政拨款支出总计284.63万元，上年同期减少了112.51万元，减少了28.33%。主要原因：减少了2017年赫山羊角小河口防汛抢险开支 。（二）一般公共预算财政拨款支出决算构成情况</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600" w:firstLineChars="25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工资和福利支出202.38万元，占71.1%，商品和服务支出56.5万元，占19.85%，对个人和家庭的补助18.21万元，占6.4%，其他资本性支出7.54万元，占2.65%。</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360" w:firstLineChars="15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（三）一般公共预算财政拨款支出决算具体情况</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   1）工资和福利支出财政拨款支出202.38万元，主要用于本单位职工的基本工</w:t>
      </w:r>
      <w:bookmarkStart w:id="0" w:name="_GoBack"/>
      <w:r>
        <w:rPr>
          <w:rFonts w:hint="eastAsia" w:ascii="微软雅黑" w:hAnsi="微软雅黑" w:eastAsia="微软雅黑" w:cs="微软雅黑"/>
          <w:color w:val="333333"/>
          <w:sz w:val="24"/>
          <w:szCs w:val="24"/>
        </w:rPr>
        <w:t>资、绩效工资、其他社会保障费</w:t>
      </w:r>
    </w:p>
    <w:bookmarkEnd w:id="0"/>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360" w:firstLineChars="15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2）商品和服务支出财政拨款支出56.5万元，主要用于本单位的办公费、印刷费、咨询费、电费、邮电费、差旅费、维护费、培训费、公务接待费、劳务费、公务用车运行维护费、其他商品和服务支出</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63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3）对个人和家庭的补助财政拨款支出18.21万元，主要用于比单位退休干职工的退休费、抚恤金、干职工的住房公积金。</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63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4）其他资本性支出7.54万元，主要用于单位办公设备购置。</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六、关于益阳市砂石市场管理办公室2018年度一般公共预算财政拨款基本支出决算情况说明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2018 年度一般公共预算财政拨款基本支出258.88万元，其中人员经费支出202.38万元，主要包括：基本工资、绩效工资、社会保障缴费及其他工资福利支出、退休费、抚恤费、住房公积金；公用经费支出56.5万元，主要包括：办公费、印刷费、咨询费、水电费、邮电费、差旅费、维修（护）费、会议费、培训费、公务接待费、公务用车运行维护费等。</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七、关于益阳市砂石市场管理办公室2018年度政府性基金预算财政拨款支出决算情况说明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因本单位2018年度没有政府性基金收入，也没有政府性基金安排的支出，故本表无数据。</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八、关于益阳市砂石市场管理办公室2018年度一般公共预算财政拨款“三公”经费支出决算情况说明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(一)“三公”经费财政拨款支出决算总体情况说明。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2018年度“三公”经费财政拨款支出预算9.6万元，支出决算为7.01万元，完成预算的73.02%，其中：1辆公务用车运行费支出决算为6.07万元，完成预算的86.71%。无新车购置；公务接待费支出决算为0.94万元，完成预算的36.15%。2017年度“三公”经费支出决算数小于预算数的主要原因：加强管理，厉行节约，压缩公车运行和招待费支出，使得决算数小于预算数。</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（二）“三公”经费财政拨款支出决算具体情况说明。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600" w:firstLineChars="25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2018年度“三公”经费财政拨款支出决算为7.01万元，其中：公务用车运行费支出决算为6.07万元，占86.6%，公务接待支出决算为0.94万元，占13.4%。2018年度“三公”经费支出决算小于上年决算数的主要原因：加强管理，厉行节约，压缩公车运行和招待费支出。</w:t>
      </w:r>
    </w:p>
    <w:p>
      <w:pPr>
        <w:pStyle w:val="4"/>
        <w:keepNext w:val="0"/>
        <w:keepLines w:val="0"/>
        <w:pageBreakBefore w:val="0"/>
        <w:numPr>
          <w:numId w:val="0"/>
        </w:numPr>
        <w:kinsoku/>
        <w:wordWrap/>
        <w:overflowPunct/>
        <w:topLinePunct w:val="0"/>
        <w:bidi w:val="0"/>
        <w:snapToGrid/>
        <w:spacing w:before="157" w:beforeLines="50" w:beforeAutospacing="0" w:after="157" w:afterLines="50" w:afterAutospacing="0" w:line="600" w:lineRule="exact"/>
        <w:ind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val="en-US" w:eastAsia="zh-CN"/>
        </w:rPr>
        <w:t>1、</w:t>
      </w:r>
      <w:r>
        <w:rPr>
          <w:rFonts w:hint="eastAsia" w:ascii="微软雅黑" w:hAnsi="微软雅黑" w:eastAsia="微软雅黑" w:cs="微软雅黑"/>
          <w:color w:val="333333"/>
          <w:sz w:val="24"/>
          <w:szCs w:val="24"/>
        </w:rPr>
        <w:t>公务用车购置及运行经费情况说明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659" w:leftChars="314" w:firstLine="360" w:firstLineChars="15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无公无用车购置，保有量一辆，运行经费支出：6.07万元，主要用于车辆的维护费、燃料费、保险费等.</w:t>
      </w:r>
    </w:p>
    <w:p>
      <w:pPr>
        <w:pStyle w:val="4"/>
        <w:keepNext w:val="0"/>
        <w:keepLines w:val="0"/>
        <w:pageBreakBefore w:val="0"/>
        <w:numPr>
          <w:numId w:val="0"/>
        </w:numPr>
        <w:kinsoku/>
        <w:wordWrap/>
        <w:overflowPunct/>
        <w:topLinePunct w:val="0"/>
        <w:bidi w:val="0"/>
        <w:snapToGrid/>
        <w:spacing w:before="157" w:beforeLines="50" w:beforeAutospacing="0" w:after="157" w:afterLines="50" w:afterAutospacing="0" w:line="600" w:lineRule="exact"/>
        <w:ind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val="en-US" w:eastAsia="zh-CN"/>
        </w:rPr>
        <w:t>2、</w:t>
      </w:r>
      <w:r>
        <w:rPr>
          <w:rFonts w:hint="eastAsia" w:ascii="微软雅黑" w:hAnsi="微软雅黑" w:eastAsia="微软雅黑" w:cs="微软雅黑"/>
          <w:color w:val="333333"/>
          <w:sz w:val="24"/>
          <w:szCs w:val="24"/>
        </w:rPr>
        <w:t>公务接待情况说明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659" w:leftChars="314" w:firstLine="240" w:firstLineChars="1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公务接待支出0.94万元，国内公务接待30批次，接待235人次。接待支出</w:t>
      </w:r>
      <w:r>
        <w:rPr>
          <w:rFonts w:hint="eastAsia" w:ascii="微软雅黑" w:hAnsi="微软雅黑" w:eastAsia="微软雅黑" w:cs="微软雅黑"/>
          <w:color w:val="333333"/>
          <w:sz w:val="24"/>
          <w:szCs w:val="24"/>
          <w:lang w:eastAsia="zh-CN"/>
        </w:rPr>
        <w:t>主</w:t>
      </w:r>
      <w:r>
        <w:rPr>
          <w:rFonts w:hint="eastAsia" w:ascii="微软雅黑" w:hAnsi="微软雅黑" w:eastAsia="微软雅黑" w:cs="微软雅黑"/>
          <w:color w:val="333333"/>
          <w:sz w:val="24"/>
          <w:szCs w:val="24"/>
        </w:rPr>
        <w:t>要用于砂石市场整治联合行动开支等。</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both"/>
        <w:textAlignment w:val="baseline"/>
        <w:rPr>
          <w:rFonts w:hint="eastAsia" w:ascii="微软雅黑" w:hAnsi="微软雅黑" w:eastAsia="微软雅黑" w:cs="微软雅黑"/>
          <w:b/>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b/>
          <w:color w:val="333333"/>
          <w:sz w:val="24"/>
          <w:szCs w:val="24"/>
        </w:rPr>
      </w:pPr>
      <w:r>
        <w:rPr>
          <w:rFonts w:hint="eastAsia" w:ascii="微软雅黑" w:hAnsi="微软雅黑" w:eastAsia="微软雅黑" w:cs="微软雅黑"/>
          <w:b/>
          <w:color w:val="333333"/>
          <w:sz w:val="24"/>
          <w:szCs w:val="24"/>
        </w:rPr>
        <w:t>九、关于2018年度预算绩效情况说明</w:t>
      </w:r>
    </w:p>
    <w:p>
      <w:pPr>
        <w:keepNext w:val="0"/>
        <w:keepLines w:val="0"/>
        <w:pageBreakBefore w:val="0"/>
        <w:widowControl/>
        <w:kinsoku/>
        <w:wordWrap/>
        <w:overflowPunct/>
        <w:topLinePunct w:val="0"/>
        <w:bidi w:val="0"/>
        <w:snapToGrid/>
        <w:spacing w:before="157" w:beforeLines="50" w:after="157" w:afterLines="50" w:line="600" w:lineRule="exact"/>
        <w:ind w:left="899" w:leftChars="428" w:firstLine="0" w:firstLineChars="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en-US" w:eastAsia="zh-CN"/>
        </w:rPr>
        <w:t>(</w:t>
      </w:r>
      <w:r>
        <w:rPr>
          <w:rFonts w:hint="eastAsia" w:ascii="微软雅黑" w:hAnsi="微软雅黑" w:eastAsia="微软雅黑" w:cs="微软雅黑"/>
          <w:kern w:val="0"/>
          <w:sz w:val="24"/>
          <w:szCs w:val="24"/>
        </w:rPr>
        <w:t>一）绩效管理工作开展情况</w:t>
      </w:r>
      <w:r>
        <w:rPr>
          <w:rFonts w:hint="eastAsia" w:ascii="微软雅黑" w:hAnsi="微软雅黑" w:eastAsia="微软雅黑" w:cs="微软雅黑"/>
          <w:kern w:val="0"/>
          <w:sz w:val="24"/>
          <w:szCs w:val="24"/>
        </w:rPr>
        <w:t> </w:t>
      </w:r>
      <w:r>
        <w:rPr>
          <w:rFonts w:hint="eastAsia" w:ascii="微软雅黑" w:hAnsi="微软雅黑" w:eastAsia="微软雅黑" w:cs="微软雅黑"/>
          <w:kern w:val="0"/>
          <w:sz w:val="24"/>
          <w:szCs w:val="24"/>
        </w:rPr>
        <w:t>：</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2018年，在市局党组的正确领导和关心支持下，</w:t>
      </w:r>
      <w:r>
        <w:rPr>
          <w:rFonts w:hint="eastAsia" w:ascii="微软雅黑" w:hAnsi="微软雅黑" w:eastAsia="微软雅黑" w:cs="微软雅黑"/>
          <w:kern w:val="0"/>
          <w:sz w:val="24"/>
          <w:szCs w:val="24"/>
        </w:rPr>
        <w:t>砂管办</w:t>
      </w:r>
      <w:r>
        <w:rPr>
          <w:rFonts w:hint="eastAsia" w:ascii="微软雅黑" w:hAnsi="微软雅黑" w:eastAsia="微软雅黑" w:cs="微软雅黑"/>
          <w:kern w:val="0"/>
          <w:sz w:val="24"/>
          <w:szCs w:val="24"/>
        </w:rPr>
        <w:t>积极学习党的十九大会议精神</w:t>
      </w:r>
      <w:r>
        <w:rPr>
          <w:rFonts w:hint="eastAsia" w:ascii="微软雅黑" w:hAnsi="微软雅黑" w:eastAsia="微软雅黑" w:cs="微软雅黑"/>
          <w:kern w:val="0"/>
          <w:sz w:val="24"/>
          <w:szCs w:val="24"/>
        </w:rPr>
        <w:t> </w:t>
      </w:r>
      <w:r>
        <w:rPr>
          <w:rFonts w:hint="eastAsia" w:ascii="微软雅黑" w:hAnsi="微软雅黑" w:eastAsia="微软雅黑" w:cs="微软雅黑"/>
          <w:kern w:val="0"/>
          <w:sz w:val="24"/>
          <w:szCs w:val="24"/>
        </w:rPr>
        <w:t>，以“两学一做”学习教育为指导，以市直机关工委对口党建联系点为契机，紧紧围绕年初工作计划，注重实效，进一步完善各类制度，认真落实党风廉政建设工作，通过全</w:t>
      </w:r>
      <w:r>
        <w:rPr>
          <w:rFonts w:hint="eastAsia" w:ascii="微软雅黑" w:hAnsi="微软雅黑" w:eastAsia="微软雅黑" w:cs="微软雅黑"/>
          <w:kern w:val="0"/>
          <w:sz w:val="24"/>
          <w:szCs w:val="24"/>
        </w:rPr>
        <w:t>办</w:t>
      </w:r>
      <w:r>
        <w:rPr>
          <w:rFonts w:hint="eastAsia" w:ascii="微软雅黑" w:hAnsi="微软雅黑" w:eastAsia="微软雅黑" w:cs="微软雅黑"/>
          <w:kern w:val="0"/>
          <w:sz w:val="24"/>
          <w:szCs w:val="24"/>
        </w:rPr>
        <w:t>干职工的共同努力，各项工作扎实开展，圆满完成了目标绩效管理的工作目标。</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（二）预算绩效情况的说明。</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1、</w:t>
      </w:r>
      <w:r>
        <w:rPr>
          <w:rFonts w:hint="eastAsia" w:ascii="微软雅黑" w:hAnsi="微软雅黑" w:eastAsia="微软雅黑" w:cs="微软雅黑"/>
          <w:kern w:val="0"/>
          <w:sz w:val="24"/>
          <w:szCs w:val="24"/>
        </w:rPr>
        <w:t>认真贯彻落实《预算法》预算绩效管理方面的规定及关于推进预算绩效管理改革各项要求的情况;</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2</w:t>
      </w:r>
      <w:r>
        <w:rPr>
          <w:rFonts w:hint="eastAsia" w:ascii="微软雅黑" w:hAnsi="微软雅黑" w:eastAsia="微软雅黑" w:cs="微软雅黑"/>
          <w:kern w:val="0"/>
          <w:sz w:val="24"/>
          <w:szCs w:val="24"/>
        </w:rPr>
        <w:t>、通过科学规范制定管理制度，有效地加强了预算绩效管理;</w:t>
      </w:r>
      <w:r>
        <w:rPr>
          <w:rFonts w:hint="eastAsia"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lang w:val="en-US" w:eastAsia="zh-CN"/>
        </w:rPr>
        <w:t>3</w:t>
      </w:r>
      <w:r>
        <w:rPr>
          <w:rFonts w:hint="eastAsia" w:ascii="微软雅黑" w:hAnsi="微软雅黑" w:eastAsia="微软雅黑" w:cs="微软雅黑"/>
          <w:kern w:val="0"/>
          <w:sz w:val="24"/>
          <w:szCs w:val="24"/>
        </w:rPr>
        <w:t>、围绕“预算编制有目标、预算执行有监控、预算完成有评价、评价结果有反馈、反馈结果有应用”开展工作，突出预算绩效管理，提高预算执行力度和资金使用效益。</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both"/>
        <w:textAlignment w:val="baseline"/>
        <w:rPr>
          <w:rFonts w:hint="eastAsia" w:ascii="微软雅黑" w:hAnsi="微软雅黑" w:eastAsia="微软雅黑" w:cs="微软雅黑"/>
          <w:color w:val="333333"/>
          <w:sz w:val="24"/>
          <w:szCs w:val="24"/>
        </w:rPr>
      </w:pP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十、其他重要事项的情况说明</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（一）预决算收支增减变化情况</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1313" w:leftChars="542" w:hanging="175" w:hangingChars="73"/>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    2018年度预算比上年增加40.49万元，2018年度决算比上年减少了112.51万元，主要原因是减少了2017年赫山羊角小河口防汛抢险开支。</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（二）机关运行经费支出情况</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1378" w:leftChars="656" w:firstLine="240" w:firstLineChars="1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我单位不属于行政管理单位，也不属于参公管理的事业单位,故2018年度没有机关运行经费支出统计。</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firstLine="960" w:firstLineChars="4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（三）政府采购支出情况</w:t>
      </w:r>
    </w:p>
    <w:p>
      <w:pPr>
        <w:keepNext w:val="0"/>
        <w:keepLines w:val="0"/>
        <w:pageBreakBefore w:val="0"/>
        <w:kinsoku/>
        <w:wordWrap/>
        <w:overflowPunct/>
        <w:topLinePunct w:val="0"/>
        <w:autoSpaceDE w:val="0"/>
        <w:autoSpaceDN w:val="0"/>
        <w:bidi w:val="0"/>
        <w:adjustRightInd w:val="0"/>
        <w:snapToGrid/>
        <w:spacing w:before="157" w:beforeLines="50" w:after="157" w:afterLines="50" w:line="600" w:lineRule="exact"/>
        <w:ind w:firstLine="1440" w:firstLineChars="600"/>
        <w:jc w:val="left"/>
        <w:rPr>
          <w:rFonts w:hint="eastAsia" w:ascii="微软雅黑" w:hAnsi="微软雅黑" w:eastAsia="微软雅黑" w:cs="微软雅黑"/>
          <w:color w:val="333333"/>
          <w:kern w:val="0"/>
          <w:sz w:val="24"/>
          <w:szCs w:val="24"/>
        </w:rPr>
      </w:pPr>
      <w:r>
        <w:rPr>
          <w:rFonts w:hint="eastAsia" w:ascii="微软雅黑" w:hAnsi="微软雅黑" w:eastAsia="微软雅黑" w:cs="微软雅黑"/>
          <w:color w:val="333333"/>
          <w:kern w:val="0"/>
          <w:sz w:val="24"/>
          <w:szCs w:val="24"/>
        </w:rPr>
        <w:t>我单位</w:t>
      </w:r>
      <w:r>
        <w:rPr>
          <w:rFonts w:hint="eastAsia" w:ascii="微软雅黑" w:hAnsi="微软雅黑" w:eastAsia="微软雅黑" w:cs="微软雅黑"/>
          <w:color w:val="333333"/>
          <w:kern w:val="0"/>
          <w:sz w:val="24"/>
          <w:szCs w:val="24"/>
        </w:rPr>
        <w:t>2018</w:t>
      </w:r>
      <w:r>
        <w:rPr>
          <w:rFonts w:hint="eastAsia" w:ascii="微软雅黑" w:hAnsi="微软雅黑" w:eastAsia="微软雅黑" w:cs="微软雅黑"/>
          <w:color w:val="333333"/>
          <w:kern w:val="0"/>
          <w:sz w:val="24"/>
          <w:szCs w:val="24"/>
        </w:rPr>
        <w:t>年度政府采购19.56万元，其中政府采购工程支出19.56万元.</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firstLine="960" w:firstLineChars="4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（四）国有资产占用情况</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firstLine="1440" w:firstLineChars="6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截止2018年12月31日，本单位一般公务用车一辆。</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1200" w:firstLineChars="5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单位没有单价50万元以上的通用设备和单价100万元以上的专用设备。</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jc w:val="both"/>
        <w:textAlignment w:val="baseline"/>
        <w:rPr>
          <w:rStyle w:val="7"/>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           </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1681" w:firstLineChars="700"/>
        <w:jc w:val="both"/>
        <w:textAlignment w:val="baseline"/>
        <w:rPr>
          <w:rStyle w:val="7"/>
          <w:rFonts w:hint="eastAsia" w:ascii="微软雅黑" w:hAnsi="微软雅黑" w:eastAsia="微软雅黑" w:cs="微软雅黑"/>
          <w:color w:val="333333"/>
          <w:sz w:val="24"/>
          <w:szCs w:val="24"/>
        </w:rPr>
      </w:pPr>
      <w:r>
        <w:rPr>
          <w:rStyle w:val="7"/>
          <w:rFonts w:hint="eastAsia" w:ascii="微软雅黑" w:hAnsi="微软雅黑" w:eastAsia="微软雅黑" w:cs="微软雅黑"/>
          <w:color w:val="333333"/>
          <w:sz w:val="24"/>
          <w:szCs w:val="24"/>
        </w:rPr>
        <w:t xml:space="preserve"> </w:t>
      </w:r>
      <w:r>
        <w:rPr>
          <w:rStyle w:val="7"/>
          <w:rFonts w:hint="eastAsia" w:ascii="微软雅黑" w:hAnsi="微软雅黑" w:eastAsia="微软雅黑" w:cs="微软雅黑"/>
          <w:color w:val="333333"/>
          <w:sz w:val="24"/>
          <w:szCs w:val="24"/>
        </w:rPr>
        <w:t>第四部分 名词解释</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一、财政拨款收入：指市财政当年拨付的资金。</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二、事业收入：指事业单位开展专业业务活动及辅助活动所取得的收入。</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三、经营收入：指事业单位在专业业务活动及其辅助活动之外开展非独立核算经营活动取得的收入。</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四、其他收入：指除上述“财政拨款收入”、“事业收入”、“经营收入”等以外的收入。主要是按规定动用的售房收入、存款利息收入等。</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六、年初结转和结余：指以前年度尚未完成、结转到本年按有关规定继续使用的资金。</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七、结余分配：指事业单位按规定提取的职工福利基金、事业基金和缴纳的所得税，以及建设单位按规定应交回的基本建设竣工项目结余资金。</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八、年末结转和结余：指本年度或以前年度预算安排、因客观条件发生变化无法按原计划实施，需要延迟到以后年度按有关规定继续使用的资金。</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600" w:firstLineChars="25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九、基本支出：指为保障机构正常运转、完成日常工作任务而发生的人员支出和公用支出。</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600" w:firstLineChars="25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十、项目支出：指在基本支出之外为完成特定行政任务和事业发展目标所发生的支出。</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十一、经营支出：指事业单位在专业业务活动及其辅助活动之外开展非独立核算经营活动发生的支出。</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firstLineChars="20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十二、“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keepNext w:val="0"/>
        <w:keepLines w:val="0"/>
        <w:pageBreakBefore w:val="0"/>
        <w:kinsoku/>
        <w:wordWrap/>
        <w:overflowPunct/>
        <w:topLinePunct w:val="0"/>
        <w:bidi w:val="0"/>
        <w:snapToGrid/>
        <w:spacing w:before="157" w:beforeLines="50" w:beforeAutospacing="0" w:after="157" w:afterLines="50" w:afterAutospacing="0" w:line="600" w:lineRule="exact"/>
        <w:ind w:left="420" w:leftChars="200" w:firstLine="48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before="157" w:beforeLines="50" w:after="157" w:afterLines="50" w:line="600" w:lineRule="exact"/>
        <w:ind w:left="420" w:leftChars="200"/>
        <w:rPr>
          <w:rFonts w:hint="eastAsia" w:ascii="微软雅黑" w:hAnsi="微软雅黑" w:eastAsia="微软雅黑" w:cs="微软雅黑"/>
          <w:sz w:val="24"/>
          <w:szCs w:val="24"/>
        </w:rPr>
      </w:pPr>
    </w:p>
    <w:p>
      <w:pPr>
        <w:keepNext w:val="0"/>
        <w:keepLines w:val="0"/>
        <w:pageBreakBefore w:val="0"/>
        <w:kinsoku/>
        <w:wordWrap/>
        <w:overflowPunct/>
        <w:topLinePunct w:val="0"/>
        <w:bidi w:val="0"/>
        <w:snapToGrid/>
        <w:spacing w:before="157" w:beforeLines="50" w:after="157" w:afterLines="50" w:line="600" w:lineRule="exact"/>
        <w:ind w:left="420" w:leftChars="200"/>
        <w:rPr>
          <w:rFonts w:hint="eastAsia" w:ascii="微软雅黑" w:hAnsi="微软雅黑" w:eastAsia="微软雅黑" w:cs="微软雅黑"/>
          <w:sz w:val="24"/>
          <w:szCs w:val="24"/>
        </w:rPr>
      </w:pPr>
    </w:p>
    <w:sectPr>
      <w:pgSz w:w="11906" w:h="16838"/>
      <w:pgMar w:top="1701" w:right="1134"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14071"/>
    <w:multiLevelType w:val="singleLevel"/>
    <w:tmpl w:val="6FF1407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3BA5"/>
    <w:rsid w:val="00015BF6"/>
    <w:rsid w:val="0002139E"/>
    <w:rsid w:val="000867E2"/>
    <w:rsid w:val="00166A19"/>
    <w:rsid w:val="001D6E5E"/>
    <w:rsid w:val="002263B6"/>
    <w:rsid w:val="002B6DB5"/>
    <w:rsid w:val="002C75EF"/>
    <w:rsid w:val="002E4D23"/>
    <w:rsid w:val="00327B2C"/>
    <w:rsid w:val="00367BB3"/>
    <w:rsid w:val="003A3430"/>
    <w:rsid w:val="003B7D86"/>
    <w:rsid w:val="003C4B8B"/>
    <w:rsid w:val="003E3BA5"/>
    <w:rsid w:val="004648C5"/>
    <w:rsid w:val="004755DC"/>
    <w:rsid w:val="004E519D"/>
    <w:rsid w:val="005B3910"/>
    <w:rsid w:val="005D40AE"/>
    <w:rsid w:val="00640FDA"/>
    <w:rsid w:val="00693DA0"/>
    <w:rsid w:val="006B5A0F"/>
    <w:rsid w:val="006D57A2"/>
    <w:rsid w:val="006D7F3A"/>
    <w:rsid w:val="006F1DF5"/>
    <w:rsid w:val="00716F64"/>
    <w:rsid w:val="00794C87"/>
    <w:rsid w:val="0079647C"/>
    <w:rsid w:val="00810526"/>
    <w:rsid w:val="008920F1"/>
    <w:rsid w:val="008B1DC4"/>
    <w:rsid w:val="008C6D83"/>
    <w:rsid w:val="008D55FB"/>
    <w:rsid w:val="008F1905"/>
    <w:rsid w:val="009B40F9"/>
    <w:rsid w:val="00A87D6D"/>
    <w:rsid w:val="00A93555"/>
    <w:rsid w:val="00AF3EFF"/>
    <w:rsid w:val="00B32786"/>
    <w:rsid w:val="00B66FBA"/>
    <w:rsid w:val="00BA6E76"/>
    <w:rsid w:val="00C13582"/>
    <w:rsid w:val="00C85B29"/>
    <w:rsid w:val="00CA7CEC"/>
    <w:rsid w:val="00CE2B12"/>
    <w:rsid w:val="00D5271C"/>
    <w:rsid w:val="00D5479E"/>
    <w:rsid w:val="00DC3C66"/>
    <w:rsid w:val="00DD2CA1"/>
    <w:rsid w:val="316635B5"/>
    <w:rsid w:val="722D4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578</Words>
  <Characters>3301</Characters>
  <Lines>27</Lines>
  <Paragraphs>7</Paragraphs>
  <TotalTime>7</TotalTime>
  <ScaleCrop>false</ScaleCrop>
  <LinksUpToDate>false</LinksUpToDate>
  <CharactersWithSpaces>3872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2019-07-26T02:56:00Z</dcterms:created>
  <dc:creator>Administrator</dc:creator>
  <cp:lastModifiedBy>Administrator</cp:lastModifiedBy>
  <dcterms:modified xsi:type="dcterms:W3CDTF">2020-01-20T03:29:48Z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