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目录</w:t>
      </w:r>
    </w:p>
    <w:p>
      <w:pPr>
        <w:ind w:firstLine="3200"/>
        <w:rPr>
          <w:rFonts w:hint="eastAsia" w:ascii="仿宋" w:hAnsi="仿宋" w:eastAsia="仿宋" w:cs="仿宋"/>
          <w:b w:val="0"/>
          <w:bCs w:val="0"/>
          <w:sz w:val="32"/>
          <w:szCs w:val="32"/>
        </w:rPr>
      </w:pP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第一部分</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概况</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一、部门职责</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三、部门决算单位构成</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第二部分</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2019年度部门决算表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一、收入支出决算总表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二、收入决算表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四、财政拨款收入支出决算总表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五、一般公共预算财政拨款支出决算表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六、一般公共预算财政拨款基本支出决算表</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七、一般公共预算财政拨款“三公”经费支出决算表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八、政府性基金预算财政拨款收入支出决算表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第三部分</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2019年度部门决算情况说明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二、收入决算情况说明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四、财政拨款收入支出决算总体情况说明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五、一般公共预算财政拨款支出决算情况说明</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六、一般公共预算财政拨款基本支出决算情况说明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七、政府性基金预算财政拨款支出决算情况说明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八、一般公共预算财政拨款“三公”经费支出决算情况说明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九、预算绩效情况说明</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十、其他重要事项情况说明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第四部分名词解释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第五部分附件</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第一部分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规划局赫山规划分局</w:t>
      </w:r>
      <w:r>
        <w:rPr>
          <w:rFonts w:hint="eastAsia" w:ascii="仿宋" w:hAnsi="仿宋" w:eastAsia="仿宋" w:cs="仿宋"/>
          <w:b w:val="0"/>
          <w:bCs w:val="0"/>
          <w:sz w:val="32"/>
          <w:szCs w:val="32"/>
        </w:rPr>
        <w:t>概况</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一、部门职责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我单位主要负责</w:t>
      </w:r>
      <w:r>
        <w:rPr>
          <w:rFonts w:hint="eastAsia" w:ascii="仿宋" w:hAnsi="仿宋" w:eastAsia="仿宋" w:cs="仿宋"/>
          <w:b w:val="0"/>
          <w:bCs w:val="0"/>
          <w:i w:val="0"/>
          <w:caps w:val="0"/>
          <w:color w:val="333333"/>
          <w:spacing w:val="0"/>
          <w:sz w:val="32"/>
          <w:szCs w:val="32"/>
          <w:shd w:val="clear" w:fill="FFFFFF"/>
        </w:rPr>
        <w:t>受理、审查、核发工作辖区内建设项目选址意见书、建设用地规划许可证、建设工程规划许可证、乡村建设规划许可证（以下简称“一书三证”），核发建设项目规划、建筑设计条件，负责受理项目改变规划条件的论证初审，负责建设项目规划行政许可后变更规划建筑方案的初审和申报；负责报市城乡规划委员会和市规划局例会审核项目的初审；组织建设项目规划放线，负责工作辖区内建设项目的审批后监督管理，负责工业项目的规划核实；提出工业项目在竣工验收时未按规划要求实施的整改意见；负责规划公示工作，参与规划听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二、机构设置</w:t>
      </w:r>
    </w:p>
    <w:p>
      <w:pPr>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rPr>
        <w:t>本单位</w:t>
      </w:r>
      <w:r>
        <w:rPr>
          <w:rFonts w:hint="eastAsia" w:ascii="仿宋" w:hAnsi="仿宋" w:eastAsia="仿宋" w:cs="仿宋"/>
          <w:b w:val="0"/>
          <w:bCs w:val="0"/>
          <w:color w:val="auto"/>
          <w:sz w:val="32"/>
          <w:szCs w:val="32"/>
          <w:lang w:eastAsia="zh-CN"/>
        </w:rPr>
        <w:t>为</w:t>
      </w:r>
      <w:r>
        <w:rPr>
          <w:rFonts w:hint="eastAsia" w:ascii="仿宋" w:hAnsi="仿宋" w:eastAsia="仿宋" w:cs="仿宋"/>
          <w:b w:val="0"/>
          <w:bCs w:val="0"/>
          <w:color w:val="auto"/>
          <w:sz w:val="32"/>
          <w:szCs w:val="32"/>
        </w:rPr>
        <w:t>正科级核定全额拨款</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事业单位</w:t>
      </w:r>
      <w:r>
        <w:rPr>
          <w:rFonts w:hint="eastAsia" w:ascii="仿宋" w:hAnsi="仿宋" w:eastAsia="仿宋" w:cs="仿宋"/>
          <w:b w:val="0"/>
          <w:bCs w:val="0"/>
          <w:color w:val="auto"/>
          <w:sz w:val="32"/>
          <w:szCs w:val="32"/>
          <w:lang w:val="en-US"/>
        </w:rPr>
        <w:t>。</w:t>
      </w:r>
      <w:r>
        <w:rPr>
          <w:rFonts w:hint="eastAsia" w:ascii="仿宋" w:hAnsi="仿宋" w:eastAsia="仿宋" w:cs="仿宋"/>
          <w:b w:val="0"/>
          <w:bCs w:val="0"/>
          <w:color w:val="auto"/>
          <w:sz w:val="32"/>
          <w:szCs w:val="32"/>
          <w:highlight w:val="none"/>
          <w:lang w:val="en-US"/>
        </w:rPr>
        <w:t>年</w:t>
      </w:r>
      <w:r>
        <w:rPr>
          <w:rFonts w:hint="eastAsia" w:ascii="仿宋" w:hAnsi="仿宋" w:eastAsia="仿宋" w:cs="仿宋"/>
          <w:b w:val="0"/>
          <w:bCs w:val="0"/>
          <w:color w:val="auto"/>
          <w:sz w:val="32"/>
          <w:szCs w:val="32"/>
          <w:highlight w:val="none"/>
          <w:lang w:val="en-US" w:eastAsia="zh-CN"/>
        </w:rPr>
        <w:t>末</w:t>
      </w:r>
      <w:r>
        <w:rPr>
          <w:rFonts w:hint="eastAsia" w:ascii="仿宋" w:hAnsi="仿宋" w:eastAsia="仿宋" w:cs="仿宋"/>
          <w:b w:val="0"/>
          <w:bCs w:val="0"/>
          <w:color w:val="auto"/>
          <w:sz w:val="32"/>
          <w:szCs w:val="32"/>
          <w:highlight w:val="none"/>
          <w:lang w:val="en-US"/>
        </w:rPr>
        <w:t>实有人数</w:t>
      </w: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lang w:val="en-US"/>
        </w:rPr>
        <w:t>人，</w:t>
      </w:r>
      <w:r>
        <w:rPr>
          <w:rFonts w:hint="eastAsia" w:ascii="仿宋" w:hAnsi="仿宋" w:eastAsia="仿宋" w:cs="仿宋"/>
          <w:b w:val="0"/>
          <w:bCs w:val="0"/>
          <w:color w:val="auto"/>
          <w:sz w:val="32"/>
          <w:szCs w:val="32"/>
          <w:highlight w:val="none"/>
          <w:lang w:val="en-US" w:eastAsia="zh-CN"/>
        </w:rPr>
        <w:t>其中参照公务员法管理事业人员8人；退休人员1人。</w:t>
      </w:r>
    </w:p>
    <w:p>
      <w:pPr>
        <w:spacing w:line="560" w:lineRule="exact"/>
        <w:ind w:firstLine="600" w:firstLineChars="200"/>
        <w:jc w:val="left"/>
        <w:rPr>
          <w:rFonts w:hint="eastAsia" w:ascii="仿宋" w:hAnsi="仿宋" w:eastAsia="仿宋" w:cs="仿宋"/>
          <w:b w:val="0"/>
          <w:bCs w:val="0"/>
          <w:color w:val="auto"/>
          <w:sz w:val="32"/>
          <w:szCs w:val="32"/>
          <w:highlight w:val="none"/>
          <w:lang w:val="en-US" w:eastAsia="zh-CN"/>
        </w:rPr>
      </w:pPr>
      <w:r>
        <w:rPr>
          <w:rFonts w:hint="eastAsia" w:ascii="仿宋_GB2312" w:hAnsi="Calibri" w:eastAsia="仿宋_GB2312" w:cs="Times New Roman"/>
          <w:sz w:val="30"/>
          <w:szCs w:val="30"/>
        </w:rPr>
        <w:t>内设机构</w:t>
      </w:r>
      <w:r>
        <w:rPr>
          <w:rFonts w:hint="eastAsia" w:ascii="仿宋_GB2312" w:hAnsi="Calibri" w:eastAsia="仿宋_GB2312" w:cs="Times New Roman"/>
          <w:sz w:val="30"/>
          <w:szCs w:val="30"/>
          <w:lang w:val="en-US" w:eastAsia="zh-CN"/>
        </w:rPr>
        <w:t>5</w:t>
      </w:r>
      <w:r>
        <w:rPr>
          <w:rFonts w:hint="eastAsia" w:ascii="仿宋_GB2312" w:hAnsi="Calibri" w:eastAsia="仿宋_GB2312" w:cs="Times New Roman"/>
          <w:sz w:val="30"/>
          <w:szCs w:val="30"/>
        </w:rPr>
        <w:t>个：办公室、</w:t>
      </w:r>
      <w:r>
        <w:rPr>
          <w:rFonts w:hint="eastAsia" w:ascii="仿宋_GB2312" w:hAnsi="Calibri" w:eastAsia="仿宋_GB2312" w:cs="Times New Roman"/>
          <w:sz w:val="30"/>
          <w:szCs w:val="30"/>
          <w:lang w:eastAsia="zh-CN"/>
        </w:rPr>
        <w:t>规划方案科</w:t>
      </w:r>
      <w:r>
        <w:rPr>
          <w:rFonts w:hint="eastAsia" w:ascii="仿宋_GB2312" w:hAnsi="Calibri" w:eastAsia="仿宋_GB2312" w:cs="Times New Roman"/>
          <w:sz w:val="30"/>
          <w:szCs w:val="30"/>
        </w:rPr>
        <w:t>、</w:t>
      </w:r>
      <w:r>
        <w:rPr>
          <w:rFonts w:hint="eastAsia" w:ascii="仿宋_GB2312" w:hAnsi="Calibri" w:eastAsia="仿宋_GB2312" w:cs="Times New Roman"/>
          <w:sz w:val="30"/>
          <w:szCs w:val="30"/>
          <w:lang w:eastAsia="zh-CN"/>
        </w:rPr>
        <w:t>工程规划科</w:t>
      </w:r>
      <w:r>
        <w:rPr>
          <w:rFonts w:hint="eastAsia" w:ascii="仿宋_GB2312" w:hAnsi="Calibri" w:eastAsia="仿宋_GB2312" w:cs="Times New Roman"/>
          <w:sz w:val="30"/>
          <w:szCs w:val="30"/>
        </w:rPr>
        <w:t>、</w:t>
      </w:r>
      <w:r>
        <w:rPr>
          <w:rFonts w:hint="eastAsia" w:ascii="仿宋_GB2312" w:hAnsi="Calibri" w:eastAsia="仿宋_GB2312" w:cs="Times New Roman"/>
          <w:sz w:val="30"/>
          <w:szCs w:val="30"/>
          <w:lang w:eastAsia="zh-CN"/>
        </w:rPr>
        <w:t>批后管理科</w:t>
      </w:r>
      <w:r>
        <w:rPr>
          <w:rFonts w:hint="eastAsia" w:ascii="仿宋_GB2312" w:hAnsi="Calibri" w:eastAsia="仿宋_GB2312" w:cs="Times New Roman"/>
          <w:sz w:val="30"/>
          <w:szCs w:val="30"/>
        </w:rPr>
        <w:t>、</w:t>
      </w:r>
      <w:r>
        <w:rPr>
          <w:rFonts w:hint="eastAsia" w:ascii="仿宋_GB2312" w:hAnsi="Calibri" w:eastAsia="仿宋_GB2312" w:cs="Times New Roman"/>
          <w:sz w:val="30"/>
          <w:szCs w:val="30"/>
          <w:lang w:eastAsia="zh-CN"/>
        </w:rPr>
        <w:t>档案管理科</w:t>
      </w:r>
      <w:r>
        <w:rPr>
          <w:rFonts w:hint="eastAsia" w:ascii="仿宋_GB2312" w:hAnsi="Calibri" w:eastAsia="仿宋_GB2312" w:cs="Times New Roman"/>
          <w:sz w:val="30"/>
          <w:szCs w:val="30"/>
          <w:lang w:val="en-US" w:eastAsia="zh-CN"/>
        </w:rPr>
        <w:t>。</w:t>
      </w:r>
    </w:p>
    <w:p>
      <w:pPr>
        <w:ind w:left="795" w:hanging="79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三、部门决算单位构成</w:t>
      </w:r>
    </w:p>
    <w:p>
      <w:pPr>
        <w:ind w:firstLine="640"/>
        <w:rPr>
          <w:rFonts w:hint="eastAsia" w:ascii="仿宋" w:hAnsi="仿宋" w:eastAsia="仿宋" w:cs="仿宋"/>
          <w:b w:val="0"/>
          <w:bCs w:val="0"/>
          <w:sz w:val="32"/>
          <w:szCs w:val="32"/>
        </w:rPr>
      </w:pPr>
      <w:r>
        <w:rPr>
          <w:rFonts w:hint="eastAsia" w:ascii="仿宋" w:hAnsi="仿宋" w:eastAsia="仿宋" w:cs="仿宋"/>
          <w:b w:val="0"/>
          <w:bCs w:val="0"/>
          <w:i w:val="0"/>
          <w:caps w:val="0"/>
          <w:color w:val="333333"/>
          <w:spacing w:val="0"/>
          <w:kern w:val="0"/>
          <w:sz w:val="32"/>
          <w:szCs w:val="32"/>
          <w:shd w:val="clear" w:fill="FFFFFF"/>
          <w:lang w:val="en-US" w:eastAsia="zh-CN" w:bidi="ar"/>
        </w:rPr>
        <w:t>从决算单位构成看，益阳市规划局赫山规划分局部门</w:t>
      </w:r>
      <w:r>
        <w:rPr>
          <w:rFonts w:hint="eastAsia" w:ascii="仿宋" w:hAnsi="仿宋" w:eastAsia="仿宋" w:cs="仿宋"/>
          <w:b w:val="0"/>
          <w:bCs w:val="0"/>
          <w:sz w:val="32"/>
          <w:szCs w:val="32"/>
        </w:rPr>
        <w:t>决算本级决算</w:t>
      </w:r>
      <w:r>
        <w:rPr>
          <w:rFonts w:hint="eastAsia" w:ascii="仿宋" w:hAnsi="仿宋" w:eastAsia="仿宋" w:cs="仿宋"/>
          <w:b w:val="0"/>
          <w:bCs w:val="0"/>
          <w:sz w:val="32"/>
          <w:szCs w:val="32"/>
          <w:lang w:eastAsia="zh-CN"/>
        </w:rPr>
        <w:t>。</w:t>
      </w:r>
    </w:p>
    <w:tbl>
      <w:tblPr>
        <w:tblStyle w:val="5"/>
        <w:tblW w:w="0" w:type="auto"/>
        <w:tblInd w:w="98" w:type="dxa"/>
        <w:tblLayout w:type="autofit"/>
        <w:tblCellMar>
          <w:top w:w="0" w:type="dxa"/>
          <w:left w:w="10" w:type="dxa"/>
          <w:bottom w:w="0" w:type="dxa"/>
          <w:right w:w="10" w:type="dxa"/>
        </w:tblCellMar>
      </w:tblPr>
      <w:tblGrid>
        <w:gridCol w:w="2213"/>
        <w:gridCol w:w="6211"/>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益阳市规划局赫山规划分局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仿宋" w:hAnsi="仿宋" w:eastAsia="仿宋" w:cs="仿宋"/>
                <w:b w:val="0"/>
                <w:bCs w:val="0"/>
                <w:sz w:val="32"/>
                <w:szCs w:val="32"/>
              </w:rPr>
            </w:pPr>
          </w:p>
        </w:tc>
      </w:tr>
    </w:tbl>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第二部分</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规划局赫山规划分局</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2019年度部门决算表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表1：收入支出决算总表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表2：收入决算表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表3：支出决算表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表4：财政拨款收入支出决算总表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表5：一般公共预算财政拨款支出决算表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表6：一般公共预算财政拨款基本支出决算表</w:t>
      </w:r>
    </w:p>
    <w:p>
      <w:pPr>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表7：一般公共预算财政拨款“三公”经费支出决算表</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表8：政府性基金预算财政拨款收入支出决算表</w:t>
      </w:r>
      <w:r>
        <w:rPr>
          <w:rFonts w:hint="eastAsia" w:ascii="仿宋" w:hAnsi="仿宋" w:eastAsia="仿宋" w:cs="仿宋"/>
          <w:b w:val="0"/>
          <w:bCs w:val="0"/>
          <w:sz w:val="32"/>
          <w:szCs w:val="32"/>
          <w:lang w:eastAsia="zh-CN"/>
        </w:rPr>
        <w:br w:type="page"/>
      </w:r>
    </w:p>
    <w:p>
      <w:pPr>
        <w:numPr>
          <w:ilvl w:val="0"/>
          <w:numId w:val="1"/>
        </w:numPr>
        <w:tabs>
          <w:tab w:val="left" w:pos="3163"/>
          <w:tab w:val="center" w:pos="4213"/>
        </w:tabs>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益阳市</w:t>
      </w:r>
      <w:r>
        <w:rPr>
          <w:rFonts w:hint="eastAsia" w:ascii="仿宋" w:hAnsi="仿宋" w:eastAsia="仿宋" w:cs="仿宋"/>
          <w:b w:val="0"/>
          <w:bCs w:val="0"/>
          <w:sz w:val="32"/>
          <w:szCs w:val="32"/>
          <w:lang w:eastAsia="zh-CN"/>
        </w:rPr>
        <w:t>规划局赫山规划分局</w:t>
      </w:r>
    </w:p>
    <w:p>
      <w:pPr>
        <w:numPr>
          <w:ilvl w:val="0"/>
          <w:numId w:val="0"/>
        </w:numPr>
        <w:tabs>
          <w:tab w:val="left" w:pos="3163"/>
          <w:tab w:val="center" w:pos="4213"/>
        </w:tabs>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2019年度部门决算情况说明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2019年度收入支出决算总体情况说明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益阳市规划局赫山规划分局2</w:t>
      </w:r>
      <w:r>
        <w:rPr>
          <w:rFonts w:hint="eastAsia" w:ascii="仿宋" w:hAnsi="仿宋" w:eastAsia="仿宋" w:cs="仿宋"/>
          <w:b w:val="0"/>
          <w:bCs w:val="0"/>
          <w:sz w:val="32"/>
          <w:szCs w:val="32"/>
        </w:rPr>
        <w:t>019年度收入总计</w:t>
      </w:r>
      <w:r>
        <w:rPr>
          <w:rFonts w:hint="eastAsia" w:ascii="仿宋" w:hAnsi="仿宋" w:eastAsia="仿宋" w:cs="仿宋"/>
          <w:b w:val="0"/>
          <w:bCs w:val="0"/>
          <w:sz w:val="32"/>
          <w:szCs w:val="32"/>
          <w:lang w:val="en-US" w:eastAsia="zh-CN"/>
        </w:rPr>
        <w:t>117.48</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8.19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上升</w:t>
      </w:r>
      <w:r>
        <w:rPr>
          <w:rFonts w:hint="eastAsia" w:ascii="仿宋" w:hAnsi="仿宋" w:eastAsia="仿宋" w:cs="仿宋"/>
          <w:b w:val="0"/>
          <w:bCs w:val="0"/>
          <w:sz w:val="32"/>
          <w:szCs w:val="32"/>
          <w:lang w:val="en-US" w:eastAsia="zh-CN"/>
        </w:rPr>
        <w:t>7.49</w:t>
      </w:r>
      <w:r>
        <w:rPr>
          <w:rFonts w:hint="eastAsia" w:ascii="仿宋" w:hAnsi="仿宋" w:eastAsia="仿宋" w:cs="仿宋"/>
          <w:b w:val="0"/>
          <w:bCs w:val="0"/>
          <w:sz w:val="32"/>
          <w:szCs w:val="32"/>
        </w:rPr>
        <w:t>%；支出总</w:t>
      </w:r>
      <w:r>
        <w:rPr>
          <w:rFonts w:hint="eastAsia" w:ascii="仿宋" w:hAnsi="仿宋" w:eastAsia="仿宋" w:cs="仿宋"/>
          <w:b w:val="0"/>
          <w:bCs w:val="0"/>
          <w:sz w:val="32"/>
          <w:szCs w:val="32"/>
          <w:lang w:eastAsia="zh-CN"/>
        </w:rPr>
        <w:t>计</w:t>
      </w:r>
      <w:r>
        <w:rPr>
          <w:rFonts w:hint="eastAsia" w:ascii="仿宋" w:hAnsi="仿宋" w:eastAsia="仿宋" w:cs="仿宋"/>
          <w:b w:val="0"/>
          <w:bCs w:val="0"/>
          <w:sz w:val="32"/>
          <w:szCs w:val="32"/>
          <w:lang w:val="en-US" w:eastAsia="zh-CN"/>
        </w:rPr>
        <w:t>115.61</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7.24</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上升</w:t>
      </w:r>
      <w:r>
        <w:rPr>
          <w:rFonts w:hint="eastAsia" w:ascii="仿宋" w:hAnsi="仿宋" w:eastAsia="仿宋" w:cs="仿宋"/>
          <w:b w:val="0"/>
          <w:bCs w:val="0"/>
          <w:sz w:val="32"/>
          <w:szCs w:val="32"/>
          <w:lang w:val="en-US" w:eastAsia="zh-CN"/>
        </w:rPr>
        <w:t>6.68</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val="en-US" w:eastAsia="zh-CN"/>
        </w:rPr>
        <w:t>办公经费的增加等</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2019年度收入决算情况说明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2019年度收入合计</w:t>
      </w:r>
      <w:r>
        <w:rPr>
          <w:rFonts w:hint="eastAsia" w:ascii="仿宋" w:hAnsi="仿宋" w:eastAsia="仿宋" w:cs="仿宋"/>
          <w:b w:val="0"/>
          <w:bCs w:val="0"/>
          <w:sz w:val="32"/>
          <w:szCs w:val="32"/>
          <w:lang w:val="en-US" w:eastAsia="zh-CN"/>
        </w:rPr>
        <w:t>117.48</w:t>
      </w:r>
      <w:r>
        <w:rPr>
          <w:rFonts w:hint="eastAsia" w:ascii="仿宋" w:hAnsi="仿宋" w:eastAsia="仿宋" w:cs="仿宋"/>
          <w:b w:val="0"/>
          <w:bCs w:val="0"/>
          <w:sz w:val="32"/>
          <w:szCs w:val="32"/>
        </w:rPr>
        <w:t>万元，其中：财政拨款收入</w:t>
      </w:r>
      <w:r>
        <w:rPr>
          <w:rFonts w:hint="eastAsia" w:ascii="仿宋" w:hAnsi="仿宋" w:eastAsia="仿宋" w:cs="仿宋"/>
          <w:b w:val="0"/>
          <w:bCs w:val="0"/>
          <w:sz w:val="32"/>
          <w:szCs w:val="32"/>
          <w:lang w:val="en-US" w:eastAsia="zh-CN"/>
        </w:rPr>
        <w:t>87.48</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收入总额的</w:t>
      </w:r>
      <w:r>
        <w:rPr>
          <w:rFonts w:hint="eastAsia" w:ascii="仿宋" w:hAnsi="仿宋" w:eastAsia="仿宋" w:cs="仿宋"/>
          <w:b w:val="0"/>
          <w:bCs w:val="0"/>
          <w:sz w:val="32"/>
          <w:szCs w:val="32"/>
          <w:lang w:val="en-US" w:eastAsia="zh-CN"/>
        </w:rPr>
        <w:t>74.46</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其他收入30万元，占</w:t>
      </w:r>
      <w:r>
        <w:rPr>
          <w:rFonts w:hint="eastAsia" w:ascii="仿宋" w:hAnsi="仿宋" w:eastAsia="仿宋" w:cs="仿宋"/>
          <w:b w:val="0"/>
          <w:bCs w:val="0"/>
          <w:sz w:val="32"/>
          <w:szCs w:val="32"/>
          <w:lang w:eastAsia="zh-CN"/>
        </w:rPr>
        <w:t>收入总额的</w:t>
      </w:r>
      <w:r>
        <w:rPr>
          <w:rFonts w:hint="eastAsia" w:ascii="仿宋" w:hAnsi="仿宋" w:eastAsia="仿宋" w:cs="仿宋"/>
          <w:b w:val="0"/>
          <w:bCs w:val="0"/>
          <w:sz w:val="32"/>
          <w:szCs w:val="32"/>
          <w:lang w:val="en-US" w:eastAsia="zh-CN"/>
        </w:rPr>
        <w:t>25.54%。</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2019年度支出合计</w:t>
      </w:r>
      <w:r>
        <w:rPr>
          <w:rFonts w:hint="eastAsia" w:ascii="仿宋" w:hAnsi="仿宋" w:eastAsia="仿宋" w:cs="仿宋"/>
          <w:b w:val="0"/>
          <w:bCs w:val="0"/>
          <w:sz w:val="32"/>
          <w:szCs w:val="32"/>
          <w:lang w:val="en-US" w:eastAsia="zh-CN"/>
        </w:rPr>
        <w:t>115.61</w:t>
      </w:r>
      <w:r>
        <w:rPr>
          <w:rFonts w:hint="eastAsia" w:ascii="仿宋" w:hAnsi="仿宋" w:eastAsia="仿宋" w:cs="仿宋"/>
          <w:b w:val="0"/>
          <w:bCs w:val="0"/>
          <w:sz w:val="32"/>
          <w:szCs w:val="32"/>
        </w:rPr>
        <w:t>万元，其中：基本支出</w:t>
      </w:r>
      <w:r>
        <w:rPr>
          <w:rFonts w:hint="eastAsia" w:ascii="仿宋" w:hAnsi="仿宋" w:eastAsia="仿宋" w:cs="仿宋"/>
          <w:b w:val="0"/>
          <w:bCs w:val="0"/>
          <w:sz w:val="32"/>
          <w:szCs w:val="32"/>
          <w:lang w:val="en-US" w:eastAsia="zh-CN"/>
        </w:rPr>
        <w:t>115.61</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支出总额的</w:t>
      </w:r>
      <w:r>
        <w:rPr>
          <w:rFonts w:hint="eastAsia" w:ascii="仿宋" w:hAnsi="仿宋" w:eastAsia="仿宋" w:cs="仿宋"/>
          <w:b w:val="0"/>
          <w:bCs w:val="0"/>
          <w:sz w:val="32"/>
          <w:szCs w:val="32"/>
          <w:lang w:val="en-US" w:eastAsia="zh-CN"/>
        </w:rPr>
        <w:t>100</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。无</w:t>
      </w:r>
      <w:r>
        <w:rPr>
          <w:rFonts w:hint="eastAsia" w:ascii="仿宋" w:hAnsi="仿宋" w:eastAsia="仿宋" w:cs="仿宋"/>
          <w:b w:val="0"/>
          <w:bCs w:val="0"/>
          <w:sz w:val="32"/>
          <w:szCs w:val="32"/>
        </w:rPr>
        <w:t>项目支出</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2019年度财政拨款收入总计</w:t>
      </w:r>
      <w:r>
        <w:rPr>
          <w:rFonts w:hint="eastAsia" w:ascii="仿宋" w:hAnsi="仿宋" w:eastAsia="仿宋" w:cs="仿宋"/>
          <w:b w:val="0"/>
          <w:bCs w:val="0"/>
          <w:sz w:val="32"/>
          <w:szCs w:val="32"/>
          <w:lang w:val="en-US" w:eastAsia="zh-CN"/>
        </w:rPr>
        <w:t>87.48</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1.19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1.38</w:t>
      </w:r>
      <w:r>
        <w:rPr>
          <w:rFonts w:hint="eastAsia" w:ascii="仿宋" w:hAnsi="仿宋" w:eastAsia="仿宋" w:cs="仿宋"/>
          <w:b w:val="0"/>
          <w:bCs w:val="0"/>
          <w:sz w:val="32"/>
          <w:szCs w:val="32"/>
        </w:rPr>
        <w:t>%；财政拨款支出总计</w:t>
      </w:r>
      <w:r>
        <w:rPr>
          <w:rFonts w:hint="eastAsia" w:ascii="仿宋" w:hAnsi="仿宋" w:eastAsia="仿宋" w:cs="仿宋"/>
          <w:b w:val="0"/>
          <w:bCs w:val="0"/>
          <w:sz w:val="32"/>
          <w:szCs w:val="32"/>
          <w:lang w:val="en-US" w:eastAsia="zh-CN"/>
        </w:rPr>
        <w:t>84.62</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1.67</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1.94%</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严格按照内控制度，精简开支。</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2019年度一般公共预算财政拨款收入支出决算情况说明</w:t>
      </w:r>
    </w:p>
    <w:p>
      <w:pPr>
        <w:ind w:firstLine="32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（一）一般公共预算财政拨款收入支出决算总体情况。</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2019年度一般公共预算财政拨款收入总计</w:t>
      </w:r>
      <w:r>
        <w:rPr>
          <w:rFonts w:hint="eastAsia" w:ascii="仿宋" w:hAnsi="仿宋" w:eastAsia="仿宋" w:cs="仿宋"/>
          <w:b w:val="0"/>
          <w:bCs w:val="0"/>
          <w:sz w:val="32"/>
          <w:szCs w:val="32"/>
          <w:lang w:val="en-US" w:eastAsia="zh-CN"/>
        </w:rPr>
        <w:t>87.48</w:t>
      </w:r>
      <w:r>
        <w:rPr>
          <w:rFonts w:hint="eastAsia" w:ascii="仿宋" w:hAnsi="仿宋" w:eastAsia="仿宋" w:cs="仿宋"/>
          <w:b w:val="0"/>
          <w:bCs w:val="0"/>
          <w:sz w:val="32"/>
          <w:szCs w:val="32"/>
        </w:rPr>
        <w:t>万元，比上年同期</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1.19</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增加</w:t>
      </w:r>
      <w:r>
        <w:rPr>
          <w:rFonts w:hint="eastAsia" w:ascii="仿宋" w:hAnsi="仿宋" w:eastAsia="仿宋" w:cs="仿宋"/>
          <w:b w:val="0"/>
          <w:bCs w:val="0"/>
          <w:sz w:val="32"/>
          <w:szCs w:val="32"/>
          <w:lang w:val="en-US" w:eastAsia="zh-CN"/>
        </w:rPr>
        <w:t>1.38</w:t>
      </w:r>
      <w:r>
        <w:rPr>
          <w:rFonts w:hint="eastAsia" w:ascii="仿宋" w:hAnsi="仿宋" w:eastAsia="仿宋" w:cs="仿宋"/>
          <w:b w:val="0"/>
          <w:bCs w:val="0"/>
          <w:sz w:val="32"/>
          <w:szCs w:val="32"/>
        </w:rPr>
        <w:t>%；一般公共预算财政拨款支出总计</w:t>
      </w:r>
      <w:r>
        <w:rPr>
          <w:rFonts w:hint="eastAsia" w:ascii="仿宋" w:hAnsi="仿宋" w:eastAsia="仿宋" w:cs="仿宋"/>
          <w:b w:val="0"/>
          <w:bCs w:val="0"/>
          <w:sz w:val="32"/>
          <w:szCs w:val="32"/>
          <w:lang w:val="en-US" w:eastAsia="zh-CN"/>
        </w:rPr>
        <w:t>84.62</w:t>
      </w:r>
      <w:r>
        <w:rPr>
          <w:rFonts w:hint="eastAsia" w:ascii="仿宋" w:hAnsi="仿宋" w:eastAsia="仿宋" w:cs="仿宋"/>
          <w:b w:val="0"/>
          <w:bCs w:val="0"/>
          <w:sz w:val="32"/>
          <w:szCs w:val="32"/>
        </w:rPr>
        <w:t>万元，比上年同期减少</w:t>
      </w:r>
      <w:r>
        <w:rPr>
          <w:rFonts w:hint="eastAsia" w:ascii="仿宋" w:hAnsi="仿宋" w:eastAsia="仿宋" w:cs="仿宋"/>
          <w:b w:val="0"/>
          <w:bCs w:val="0"/>
          <w:sz w:val="32"/>
          <w:szCs w:val="32"/>
          <w:lang w:val="en-US" w:eastAsia="zh-CN"/>
        </w:rPr>
        <w:t>1.67</w:t>
      </w:r>
      <w:r>
        <w:rPr>
          <w:rFonts w:hint="eastAsia" w:ascii="仿宋" w:hAnsi="仿宋" w:eastAsia="仿宋" w:cs="仿宋"/>
          <w:b w:val="0"/>
          <w:bCs w:val="0"/>
          <w:sz w:val="32"/>
          <w:szCs w:val="32"/>
        </w:rPr>
        <w:t>万元，下降</w:t>
      </w:r>
      <w:r>
        <w:rPr>
          <w:rFonts w:hint="eastAsia" w:ascii="仿宋" w:hAnsi="仿宋" w:eastAsia="仿宋" w:cs="仿宋"/>
          <w:b w:val="0"/>
          <w:bCs w:val="0"/>
          <w:sz w:val="32"/>
          <w:szCs w:val="32"/>
          <w:lang w:val="en-US" w:eastAsia="zh-CN"/>
        </w:rPr>
        <w:t>1.94</w:t>
      </w:r>
      <w:r>
        <w:rPr>
          <w:rFonts w:hint="eastAsia" w:ascii="仿宋" w:hAnsi="仿宋" w:eastAsia="仿宋" w:cs="仿宋"/>
          <w:b w:val="0"/>
          <w:bCs w:val="0"/>
          <w:sz w:val="32"/>
          <w:szCs w:val="32"/>
        </w:rPr>
        <w:t>%。主要原因：</w:t>
      </w:r>
      <w:r>
        <w:rPr>
          <w:rFonts w:hint="eastAsia" w:ascii="仿宋" w:hAnsi="仿宋" w:eastAsia="仿宋" w:cs="仿宋"/>
          <w:b w:val="0"/>
          <w:bCs w:val="0"/>
          <w:sz w:val="32"/>
          <w:szCs w:val="32"/>
          <w:lang w:eastAsia="zh-CN"/>
        </w:rPr>
        <w:t>严格按照内控制度，精简开支。</w:t>
      </w:r>
    </w:p>
    <w:p>
      <w:pPr>
        <w:ind w:firstLine="32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（二）一般公共预算财政拨款支出决算构成情况。</w:t>
      </w:r>
    </w:p>
    <w:p>
      <w:pPr>
        <w:ind w:firstLine="32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2019年度财政拨款支出</w:t>
      </w:r>
      <w:r>
        <w:rPr>
          <w:rFonts w:hint="eastAsia" w:ascii="仿宋" w:hAnsi="仿宋" w:eastAsia="仿宋" w:cs="仿宋"/>
          <w:b w:val="0"/>
          <w:bCs w:val="0"/>
          <w:sz w:val="32"/>
          <w:szCs w:val="32"/>
          <w:lang w:val="en-US" w:eastAsia="zh-CN"/>
        </w:rPr>
        <w:t>84.62</w:t>
      </w:r>
      <w:r>
        <w:rPr>
          <w:rFonts w:hint="eastAsia" w:ascii="仿宋" w:hAnsi="仿宋" w:eastAsia="仿宋" w:cs="仿宋"/>
          <w:b w:val="0"/>
          <w:bCs w:val="0"/>
          <w:sz w:val="32"/>
          <w:szCs w:val="32"/>
        </w:rPr>
        <w:t>万元，主要用于以下方面：教育支</w:t>
      </w:r>
      <w:r>
        <w:rPr>
          <w:rFonts w:hint="eastAsia" w:ascii="仿宋" w:hAnsi="仿宋" w:eastAsia="仿宋" w:cs="仿宋"/>
          <w:b w:val="0"/>
          <w:bCs w:val="0"/>
          <w:sz w:val="32"/>
          <w:szCs w:val="32"/>
          <w:lang w:eastAsia="zh-CN"/>
        </w:rPr>
        <w:t>出</w:t>
      </w:r>
      <w:r>
        <w:rPr>
          <w:rFonts w:hint="eastAsia" w:ascii="仿宋" w:hAnsi="仿宋" w:eastAsia="仿宋" w:cs="仿宋"/>
          <w:b w:val="0"/>
          <w:bCs w:val="0"/>
          <w:sz w:val="32"/>
          <w:szCs w:val="32"/>
          <w:lang w:val="en-US" w:eastAsia="zh-CN"/>
        </w:rPr>
        <w:t>0.85</w:t>
      </w:r>
      <w:r>
        <w:rPr>
          <w:rFonts w:hint="eastAsia" w:ascii="仿宋" w:hAnsi="仿宋" w:eastAsia="仿宋" w:cs="仿宋"/>
          <w:b w:val="0"/>
          <w:bCs w:val="0"/>
          <w:sz w:val="32"/>
          <w:szCs w:val="32"/>
        </w:rPr>
        <w:t>万元，占</w:t>
      </w:r>
      <w:r>
        <w:rPr>
          <w:rFonts w:hint="eastAsia" w:ascii="仿宋" w:hAnsi="仿宋" w:eastAsia="仿宋" w:cs="仿宋"/>
          <w:b w:val="0"/>
          <w:bCs w:val="0"/>
          <w:sz w:val="32"/>
          <w:szCs w:val="32"/>
          <w:lang w:eastAsia="zh-CN"/>
        </w:rPr>
        <w:t>支出总额的</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城乡社区支出</w:t>
      </w:r>
      <w:r>
        <w:rPr>
          <w:rFonts w:hint="eastAsia" w:ascii="仿宋" w:hAnsi="仿宋" w:eastAsia="仿宋" w:cs="仿宋"/>
          <w:b w:val="0"/>
          <w:bCs w:val="0"/>
          <w:sz w:val="32"/>
          <w:szCs w:val="32"/>
          <w:lang w:val="en-US" w:eastAsia="zh-CN"/>
        </w:rPr>
        <w:t>78.69</w:t>
      </w:r>
      <w:r>
        <w:rPr>
          <w:rFonts w:hint="eastAsia" w:ascii="仿宋" w:hAnsi="仿宋" w:eastAsia="仿宋" w:cs="仿宋"/>
          <w:b w:val="0"/>
          <w:bCs w:val="0"/>
          <w:sz w:val="32"/>
          <w:szCs w:val="32"/>
          <w:lang w:eastAsia="zh-CN"/>
        </w:rPr>
        <w:t>万元，占支出总额的</w:t>
      </w:r>
      <w:r>
        <w:rPr>
          <w:rFonts w:hint="eastAsia" w:ascii="仿宋" w:hAnsi="仿宋" w:eastAsia="仿宋" w:cs="仿宋"/>
          <w:b w:val="0"/>
          <w:bCs w:val="0"/>
          <w:sz w:val="32"/>
          <w:szCs w:val="32"/>
          <w:lang w:val="en-US" w:eastAsia="zh-CN"/>
        </w:rPr>
        <w:t>93%；住房保障支出5.08万元，占支出总额的6%</w:t>
      </w:r>
      <w:r>
        <w:rPr>
          <w:rFonts w:hint="eastAsia" w:ascii="仿宋" w:hAnsi="仿宋" w:eastAsia="仿宋" w:cs="仿宋"/>
          <w:b w:val="0"/>
          <w:bCs w:val="0"/>
          <w:sz w:val="32"/>
          <w:szCs w:val="32"/>
        </w:rPr>
        <w:t>。</w:t>
      </w:r>
    </w:p>
    <w:p>
      <w:pPr>
        <w:ind w:firstLine="32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（三）一般公共预算财政拨款支出决算具体情况。</w:t>
      </w:r>
    </w:p>
    <w:p>
      <w:pPr>
        <w:ind w:firstLine="32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2019年度财政拨款支出年初预算为</w:t>
      </w:r>
      <w:r>
        <w:rPr>
          <w:rFonts w:hint="eastAsia" w:ascii="仿宋" w:hAnsi="仿宋" w:eastAsia="仿宋" w:cs="仿宋"/>
          <w:b w:val="0"/>
          <w:bCs w:val="0"/>
          <w:color w:val="000000" w:themeColor="text1"/>
          <w:sz w:val="32"/>
          <w:szCs w:val="32"/>
          <w:lang w:val="en-US" w:eastAsia="zh-CN"/>
          <w14:textFill>
            <w14:solidFill>
              <w14:schemeClr w14:val="tx1"/>
            </w14:solidFill>
          </w14:textFill>
        </w:rPr>
        <w:t>73.77</w:t>
      </w:r>
      <w:r>
        <w:rPr>
          <w:rFonts w:hint="eastAsia" w:ascii="仿宋" w:hAnsi="仿宋" w:eastAsia="仿宋" w:cs="仿宋"/>
          <w:b w:val="0"/>
          <w:bCs w:val="0"/>
          <w:sz w:val="32"/>
          <w:szCs w:val="32"/>
        </w:rPr>
        <w:t>万元，支出决算为</w:t>
      </w:r>
      <w:r>
        <w:rPr>
          <w:rFonts w:hint="eastAsia" w:ascii="仿宋" w:hAnsi="仿宋" w:eastAsia="仿宋" w:cs="仿宋"/>
          <w:b w:val="0"/>
          <w:bCs w:val="0"/>
          <w:sz w:val="32"/>
          <w:szCs w:val="32"/>
          <w:lang w:val="en-US" w:eastAsia="zh-CN"/>
        </w:rPr>
        <w:t>84.62</w:t>
      </w:r>
      <w:r>
        <w:rPr>
          <w:rFonts w:hint="eastAsia" w:ascii="仿宋" w:hAnsi="仿宋" w:eastAsia="仿宋" w:cs="仿宋"/>
          <w:b w:val="0"/>
          <w:bCs w:val="0"/>
          <w:sz w:val="32"/>
          <w:szCs w:val="32"/>
        </w:rPr>
        <w:t>万元，完成年初预算的</w:t>
      </w:r>
      <w:r>
        <w:rPr>
          <w:rFonts w:hint="eastAsia" w:ascii="仿宋" w:hAnsi="仿宋" w:eastAsia="仿宋" w:cs="仿宋"/>
          <w:b w:val="0"/>
          <w:bCs w:val="0"/>
          <w:sz w:val="32"/>
          <w:szCs w:val="32"/>
          <w:lang w:val="en-US" w:eastAsia="zh-CN"/>
        </w:rPr>
        <w:t>114.71</w:t>
      </w:r>
      <w:r>
        <w:rPr>
          <w:rFonts w:hint="eastAsia" w:ascii="仿宋" w:hAnsi="仿宋" w:eastAsia="仿宋" w:cs="仿宋"/>
          <w:b w:val="0"/>
          <w:bCs w:val="0"/>
          <w:sz w:val="32"/>
          <w:szCs w:val="32"/>
        </w:rPr>
        <w:t>%。其中：</w:t>
      </w:r>
    </w:p>
    <w:p>
      <w:pPr>
        <w:ind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其他</w:t>
      </w:r>
      <w:r>
        <w:rPr>
          <w:rFonts w:hint="eastAsia" w:ascii="仿宋" w:hAnsi="仿宋" w:eastAsia="仿宋" w:cs="仿宋"/>
          <w:b w:val="0"/>
          <w:bCs w:val="0"/>
          <w:sz w:val="32"/>
          <w:szCs w:val="32"/>
          <w:lang w:val="en-US" w:eastAsia="zh-CN"/>
        </w:rPr>
        <w:t>教育财政拨款支出0.85万元，</w:t>
      </w:r>
      <w:r>
        <w:rPr>
          <w:rFonts w:hint="eastAsia" w:ascii="仿宋" w:hAnsi="仿宋" w:eastAsia="仿宋" w:cs="仿宋"/>
          <w:b w:val="0"/>
          <w:bCs w:val="0"/>
          <w:i w:val="0"/>
          <w:caps w:val="0"/>
          <w:color w:val="333333"/>
          <w:spacing w:val="0"/>
          <w:kern w:val="0"/>
          <w:sz w:val="32"/>
          <w:szCs w:val="32"/>
          <w:shd w:val="clear" w:fill="FFFFFF"/>
          <w:lang w:val="en-US" w:eastAsia="zh-CN" w:bidi="ar"/>
        </w:rPr>
        <w:t>主要用于单位日常支出及人员经费。</w:t>
      </w:r>
    </w:p>
    <w:p>
      <w:pPr>
        <w:ind w:firstLine="640" w:firstLineChars="200"/>
        <w:jc w:val="left"/>
        <w:rPr>
          <w:rFonts w:hint="eastAsia" w:ascii="仿宋" w:hAnsi="仿宋" w:eastAsia="仿宋" w:cs="仿宋"/>
          <w:b w:val="0"/>
          <w:bCs w:val="0"/>
          <w:i w:val="0"/>
          <w:caps w:val="0"/>
          <w:color w:val="333333"/>
          <w:spacing w:val="0"/>
          <w:kern w:val="0"/>
          <w:sz w:val="32"/>
          <w:szCs w:val="32"/>
          <w:shd w:val="clear" w:fill="FFFFFF"/>
          <w:lang w:val="en-US" w:eastAsia="zh-CN" w:bidi="ar"/>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行政运行</w:t>
      </w:r>
      <w:r>
        <w:rPr>
          <w:rFonts w:hint="eastAsia" w:ascii="仿宋" w:hAnsi="仿宋" w:eastAsia="仿宋" w:cs="仿宋"/>
          <w:b w:val="0"/>
          <w:bCs w:val="0"/>
          <w:i w:val="0"/>
          <w:caps w:val="0"/>
          <w:color w:val="333333"/>
          <w:spacing w:val="0"/>
          <w:kern w:val="0"/>
          <w:sz w:val="32"/>
          <w:szCs w:val="32"/>
          <w:shd w:val="clear" w:fill="FFFFFF"/>
          <w:lang w:val="en-US" w:eastAsia="zh-CN" w:bidi="ar"/>
        </w:rPr>
        <w:t>财政拨款</w:t>
      </w:r>
      <w:r>
        <w:rPr>
          <w:rFonts w:hint="eastAsia" w:ascii="仿宋" w:hAnsi="仿宋" w:eastAsia="仿宋" w:cs="仿宋"/>
          <w:b w:val="0"/>
          <w:bCs w:val="0"/>
          <w:sz w:val="32"/>
          <w:szCs w:val="32"/>
          <w:lang w:val="en-US" w:eastAsia="zh-CN"/>
        </w:rPr>
        <w:t>支出78.09万元，</w:t>
      </w:r>
      <w:r>
        <w:rPr>
          <w:rFonts w:hint="eastAsia" w:ascii="仿宋" w:hAnsi="仿宋" w:eastAsia="仿宋" w:cs="仿宋"/>
          <w:b w:val="0"/>
          <w:bCs w:val="0"/>
          <w:i w:val="0"/>
          <w:caps w:val="0"/>
          <w:color w:val="333333"/>
          <w:spacing w:val="0"/>
          <w:kern w:val="0"/>
          <w:sz w:val="32"/>
          <w:szCs w:val="32"/>
          <w:shd w:val="clear" w:fill="FFFFFF"/>
          <w:lang w:val="en-US" w:eastAsia="zh-CN" w:bidi="ar"/>
        </w:rPr>
        <w:t>主要用于单位日常支出及人员经费。</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3.城乡社区规划与管理</w:t>
      </w:r>
      <w:r>
        <w:rPr>
          <w:rFonts w:hint="eastAsia" w:ascii="仿宋" w:hAnsi="仿宋" w:eastAsia="仿宋" w:cs="仿宋"/>
          <w:b w:val="0"/>
          <w:bCs w:val="0"/>
          <w:i w:val="0"/>
          <w:caps w:val="0"/>
          <w:color w:val="333333"/>
          <w:spacing w:val="0"/>
          <w:kern w:val="0"/>
          <w:sz w:val="32"/>
          <w:szCs w:val="32"/>
          <w:shd w:val="clear" w:fill="FFFFFF"/>
          <w:lang w:val="en-US" w:eastAsia="zh-CN" w:bidi="ar"/>
        </w:rPr>
        <w:t>财政拨款</w:t>
      </w:r>
      <w:r>
        <w:rPr>
          <w:rFonts w:hint="eastAsia" w:ascii="仿宋" w:hAnsi="仿宋" w:eastAsia="仿宋" w:cs="仿宋"/>
          <w:b w:val="0"/>
          <w:bCs w:val="0"/>
          <w:sz w:val="32"/>
          <w:szCs w:val="32"/>
          <w:lang w:val="en-US" w:eastAsia="zh-CN"/>
        </w:rPr>
        <w:t>支出0.6万元，</w:t>
      </w:r>
      <w:r>
        <w:rPr>
          <w:rFonts w:hint="eastAsia" w:ascii="仿宋" w:hAnsi="仿宋" w:eastAsia="仿宋" w:cs="仿宋"/>
          <w:b w:val="0"/>
          <w:bCs w:val="0"/>
          <w:sz w:val="32"/>
          <w:szCs w:val="32"/>
        </w:rPr>
        <w:t>主要用于</w:t>
      </w:r>
      <w:r>
        <w:rPr>
          <w:rFonts w:hint="eastAsia" w:ascii="仿宋" w:hAnsi="仿宋" w:eastAsia="仿宋" w:cs="仿宋"/>
          <w:b w:val="0"/>
          <w:bCs w:val="0"/>
          <w:sz w:val="32"/>
          <w:szCs w:val="32"/>
          <w:lang w:eastAsia="zh-CN"/>
        </w:rPr>
        <w:t>高层次人才生活补助</w:t>
      </w:r>
      <w:r>
        <w:rPr>
          <w:rFonts w:hint="eastAsia" w:ascii="仿宋" w:hAnsi="仿宋" w:eastAsia="仿宋" w:cs="仿宋"/>
          <w:b w:val="0"/>
          <w:bCs w:val="0"/>
          <w:sz w:val="32"/>
          <w:szCs w:val="32"/>
          <w:lang w:val="en-US" w:eastAsia="zh-CN"/>
        </w:rPr>
        <w:t>。</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4.住房公积金财政拨款支出5.08万元，主要用于人员住房公积金。</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六、关于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2019年度一般公共预算财政拨款基本支出决算情况说明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2019年度一般公共预算财政拨款基本支出</w:t>
      </w:r>
      <w:r>
        <w:rPr>
          <w:rFonts w:hint="eastAsia" w:ascii="仿宋" w:hAnsi="仿宋" w:eastAsia="仿宋" w:cs="仿宋"/>
          <w:b w:val="0"/>
          <w:bCs w:val="0"/>
          <w:sz w:val="32"/>
          <w:szCs w:val="32"/>
          <w:lang w:val="en-US" w:eastAsia="zh-CN"/>
        </w:rPr>
        <w:t>84.62</w:t>
      </w:r>
      <w:r>
        <w:rPr>
          <w:rFonts w:hint="eastAsia" w:ascii="仿宋" w:hAnsi="仿宋" w:eastAsia="仿宋" w:cs="仿宋"/>
          <w:b w:val="0"/>
          <w:bCs w:val="0"/>
          <w:sz w:val="32"/>
          <w:szCs w:val="32"/>
        </w:rPr>
        <w:t>万元，其中人员经费支出</w:t>
      </w:r>
      <w:r>
        <w:rPr>
          <w:rFonts w:hint="eastAsia" w:ascii="仿宋" w:hAnsi="仿宋" w:eastAsia="仿宋" w:cs="仿宋"/>
          <w:b w:val="0"/>
          <w:bCs w:val="0"/>
          <w:sz w:val="32"/>
          <w:szCs w:val="32"/>
          <w:lang w:val="en-US" w:eastAsia="zh-CN"/>
        </w:rPr>
        <w:t>73.16</w:t>
      </w:r>
      <w:r>
        <w:rPr>
          <w:rFonts w:hint="eastAsia" w:ascii="仿宋" w:hAnsi="仿宋" w:eastAsia="仿宋" w:cs="仿宋"/>
          <w:b w:val="0"/>
          <w:bCs w:val="0"/>
          <w:sz w:val="32"/>
          <w:szCs w:val="32"/>
        </w:rPr>
        <w:t>万元，主要包括：</w:t>
      </w:r>
      <w:r>
        <w:rPr>
          <w:rFonts w:hint="eastAsia" w:ascii="仿宋" w:hAnsi="仿宋" w:eastAsia="仿宋" w:cs="仿宋"/>
          <w:b w:val="0"/>
          <w:bCs w:val="0"/>
          <w:sz w:val="32"/>
          <w:szCs w:val="32"/>
          <w:lang w:val="en-US" w:eastAsia="zh-CN"/>
        </w:rPr>
        <w:t>基本工资、津贴补贴、伙食补助费、绩效工资、机关事业单位基本养老保险缴费、职业年金缴费、职工基本医疗保险缴费、退休费、住房公积金、其他工资福利</w:t>
      </w:r>
      <w:r>
        <w:rPr>
          <w:rFonts w:hint="eastAsia" w:ascii="仿宋" w:hAnsi="仿宋" w:eastAsia="仿宋" w:cs="仿宋"/>
          <w:b w:val="0"/>
          <w:bCs w:val="0"/>
          <w:sz w:val="32"/>
          <w:szCs w:val="32"/>
        </w:rPr>
        <w:t>；公用经费支出</w:t>
      </w:r>
      <w:r>
        <w:rPr>
          <w:rFonts w:hint="eastAsia" w:ascii="仿宋" w:hAnsi="仿宋" w:eastAsia="仿宋" w:cs="仿宋"/>
          <w:b w:val="0"/>
          <w:bCs w:val="0"/>
          <w:sz w:val="32"/>
          <w:szCs w:val="32"/>
          <w:lang w:val="en-US" w:eastAsia="zh-CN"/>
        </w:rPr>
        <w:t>11.46</w:t>
      </w:r>
      <w:r>
        <w:rPr>
          <w:rFonts w:hint="eastAsia" w:ascii="仿宋" w:hAnsi="仿宋" w:eastAsia="仿宋" w:cs="仿宋"/>
          <w:b w:val="0"/>
          <w:bCs w:val="0"/>
          <w:sz w:val="32"/>
          <w:szCs w:val="32"/>
        </w:rPr>
        <w:t>万元。主要包括：</w:t>
      </w:r>
      <w:r>
        <w:rPr>
          <w:rFonts w:hint="eastAsia" w:ascii="仿宋" w:hAnsi="仿宋" w:eastAsia="仿宋" w:cs="仿宋"/>
          <w:b w:val="0"/>
          <w:bCs w:val="0"/>
          <w:sz w:val="32"/>
          <w:szCs w:val="32"/>
          <w:lang w:val="en-US" w:eastAsia="zh-CN"/>
        </w:rPr>
        <w:t>办公费、印刷费、物业管理费、差旅费、维修（护）费、劳务费、委托业务费、工会经费、福利费、其他交通费用、其他商品和服务支出</w:t>
      </w:r>
      <w:r>
        <w:rPr>
          <w:rFonts w:hint="eastAsia" w:ascii="仿宋" w:hAnsi="仿宋" w:eastAsia="仿宋" w:cs="仿宋"/>
          <w:b w:val="0"/>
          <w:bCs w:val="0"/>
          <w:sz w:val="32"/>
          <w:szCs w:val="32"/>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2019年度政府性基金预算财政拨款支出决算情况说明</w:t>
      </w:r>
    </w:p>
    <w:p>
      <w:pPr>
        <w:ind w:firstLine="640"/>
        <w:jc w:val="left"/>
        <w:rPr>
          <w:rFonts w:hint="eastAsia" w:ascii="仿宋" w:hAnsi="仿宋" w:eastAsia="仿宋" w:cs="仿宋"/>
          <w:b w:val="0"/>
          <w:bCs w:val="0"/>
          <w:i w:val="0"/>
          <w:caps w:val="0"/>
          <w:color w:val="000000"/>
          <w:spacing w:val="0"/>
          <w:sz w:val="32"/>
          <w:szCs w:val="32"/>
          <w:shd w:val="clear" w:fill="FFFFFF"/>
          <w:lang w:eastAsia="zh-CN"/>
        </w:rPr>
      </w:pPr>
      <w:r>
        <w:rPr>
          <w:rFonts w:hint="eastAsia" w:ascii="仿宋" w:hAnsi="仿宋" w:eastAsia="仿宋" w:cs="仿宋"/>
          <w:b w:val="0"/>
          <w:bCs w:val="0"/>
          <w:i w:val="0"/>
          <w:caps w:val="0"/>
          <w:color w:val="333333"/>
          <w:spacing w:val="0"/>
          <w:sz w:val="32"/>
          <w:szCs w:val="32"/>
          <w:shd w:val="clear" w:fill="FFFFFF"/>
        </w:rPr>
        <w:t>益阳市</w:t>
      </w:r>
      <w:r>
        <w:rPr>
          <w:rFonts w:hint="eastAsia" w:ascii="仿宋" w:hAnsi="仿宋" w:eastAsia="仿宋" w:cs="仿宋"/>
          <w:b w:val="0"/>
          <w:bCs w:val="0"/>
          <w:i w:val="0"/>
          <w:caps w:val="0"/>
          <w:color w:val="000000"/>
          <w:spacing w:val="0"/>
          <w:sz w:val="32"/>
          <w:szCs w:val="32"/>
          <w:shd w:val="clear" w:fill="FFFFFF"/>
          <w:lang w:eastAsia="zh-CN"/>
        </w:rPr>
        <w:t>规划局赫山规划分局</w:t>
      </w:r>
      <w:r>
        <w:rPr>
          <w:rFonts w:hint="eastAsia" w:ascii="仿宋" w:hAnsi="仿宋" w:eastAsia="仿宋" w:cs="仿宋"/>
          <w:b w:val="0"/>
          <w:bCs w:val="0"/>
          <w:i w:val="0"/>
          <w:caps w:val="0"/>
          <w:color w:val="000000"/>
          <w:spacing w:val="0"/>
          <w:sz w:val="32"/>
          <w:szCs w:val="32"/>
          <w:shd w:val="clear" w:fill="FFFFFF"/>
          <w:lang w:val="en-US" w:eastAsia="zh-CN"/>
        </w:rPr>
        <w:t>2019</w:t>
      </w:r>
      <w:r>
        <w:rPr>
          <w:rFonts w:hint="eastAsia" w:ascii="仿宋" w:hAnsi="仿宋" w:eastAsia="仿宋" w:cs="仿宋"/>
          <w:b w:val="0"/>
          <w:bCs w:val="0"/>
          <w:i w:val="0"/>
          <w:caps w:val="0"/>
          <w:color w:val="000000"/>
          <w:spacing w:val="0"/>
          <w:sz w:val="32"/>
          <w:szCs w:val="32"/>
          <w:shd w:val="clear" w:fill="FFFFFF"/>
        </w:rPr>
        <w:t>年度</w:t>
      </w:r>
      <w:r>
        <w:rPr>
          <w:rFonts w:hint="eastAsia" w:ascii="仿宋" w:hAnsi="仿宋" w:eastAsia="仿宋" w:cs="仿宋"/>
          <w:b w:val="0"/>
          <w:bCs w:val="0"/>
          <w:i w:val="0"/>
          <w:caps w:val="0"/>
          <w:color w:val="333333"/>
          <w:spacing w:val="0"/>
          <w:sz w:val="32"/>
          <w:szCs w:val="32"/>
          <w:shd w:val="clear" w:fill="FFFFFF"/>
        </w:rPr>
        <w:t>没</w:t>
      </w:r>
      <w:r>
        <w:rPr>
          <w:rFonts w:hint="eastAsia" w:ascii="仿宋" w:hAnsi="仿宋" w:eastAsia="仿宋" w:cs="仿宋"/>
          <w:b w:val="0"/>
          <w:bCs w:val="0"/>
          <w:i w:val="0"/>
          <w:caps w:val="0"/>
          <w:color w:val="000000"/>
          <w:spacing w:val="0"/>
          <w:sz w:val="32"/>
          <w:szCs w:val="32"/>
          <w:shd w:val="clear" w:fill="FFFFFF"/>
          <w:lang w:val="en-US" w:eastAsia="zh-CN"/>
        </w:rPr>
        <w:t>有</w:t>
      </w:r>
      <w:r>
        <w:rPr>
          <w:rFonts w:hint="eastAsia" w:ascii="仿宋" w:hAnsi="仿宋" w:eastAsia="仿宋" w:cs="仿宋"/>
          <w:b w:val="0"/>
          <w:bCs w:val="0"/>
          <w:i w:val="0"/>
          <w:caps w:val="0"/>
          <w:color w:val="000000"/>
          <w:spacing w:val="0"/>
          <w:sz w:val="32"/>
          <w:szCs w:val="32"/>
          <w:shd w:val="clear" w:fill="FFFFFF"/>
        </w:rPr>
        <w:t>政府性基金预算财政拨款支出</w:t>
      </w:r>
      <w:r>
        <w:rPr>
          <w:rFonts w:hint="eastAsia" w:ascii="仿宋" w:hAnsi="仿宋" w:eastAsia="仿宋" w:cs="仿宋"/>
          <w:b w:val="0"/>
          <w:bCs w:val="0"/>
          <w:i w:val="0"/>
          <w:caps w:val="0"/>
          <w:color w:val="000000"/>
          <w:spacing w:val="0"/>
          <w:sz w:val="32"/>
          <w:szCs w:val="32"/>
          <w:shd w:val="clear" w:fill="FFFFFF"/>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八、关于</w:t>
      </w:r>
      <w:r>
        <w:rPr>
          <w:rFonts w:hint="eastAsia" w:ascii="仿宋" w:hAnsi="仿宋" w:eastAsia="仿宋" w:cs="仿宋"/>
          <w:b w:val="0"/>
          <w:bCs w:val="0"/>
          <w:sz w:val="32"/>
          <w:szCs w:val="32"/>
          <w:lang w:eastAsia="zh-CN"/>
        </w:rPr>
        <w:t>益阳市规划局赫山规划分局</w:t>
      </w:r>
      <w:r>
        <w:rPr>
          <w:rFonts w:hint="eastAsia" w:ascii="仿宋" w:hAnsi="仿宋" w:eastAsia="仿宋" w:cs="仿宋"/>
          <w:b w:val="0"/>
          <w:bCs w:val="0"/>
          <w:sz w:val="32"/>
          <w:szCs w:val="32"/>
        </w:rPr>
        <w:t>2019年度一般公共预算财政拨款“三公”经费支出决算情况说明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（一）“三公”经费财政拨款支出决算总体情况说明。</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2019年度“三公”经费财政拨款支出预算为1万元，支出决算为0万元，完成预算的0%，其中：因公出国（境）费支出决算为0万元，完成预算的0%；公务用车购置及运行费支出决算为0万元，完成预算的0%；公务接待费支出决算为 0万元，完成预算的0%。2018年度“三公”经费支出决算数小于预算数的主要原因：单位从严控制“三公”经费，确保了“三个不超过”，使“三公”经费支出有效减少。</w:t>
      </w:r>
    </w:p>
    <w:p>
      <w:pPr>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（二）“三公”经费财政拨款支出决算具体情况说明。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2019年度“三公”经费财政拨款支出决算为0万元，其中：因公出</w:t>
      </w:r>
      <w:bookmarkStart w:id="0" w:name="_GoBack"/>
      <w:bookmarkEnd w:id="0"/>
      <w:r>
        <w:rPr>
          <w:rFonts w:hint="eastAsia" w:ascii="仿宋" w:hAnsi="仿宋" w:eastAsia="仿宋" w:cs="仿宋"/>
          <w:b w:val="0"/>
          <w:bCs w:val="0"/>
          <w:sz w:val="32"/>
          <w:szCs w:val="32"/>
          <w:lang w:val="en-US" w:eastAsia="zh-CN"/>
        </w:rPr>
        <w:t>国（境）费支出决算为0万元，占0%；公务用车购置及运行费支出决算为0万元，占0%；公务接待费支出决算为0万元，占0%。</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1、公务用车购置及运行经费情况说明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公务用车购置支出：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万元，保有量</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台</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运行经费支出：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、因公出国（境）情况说明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因公出国（境）团组数</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个，</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3、公务接待情况说明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公务接待支出</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万元，国内公务接待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批次，接待</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九、关于2019年度预算绩效情况说明</w:t>
      </w:r>
    </w:p>
    <w:p>
      <w:pPr>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（一）绩效管理工作开展情况</w:t>
      </w:r>
    </w:p>
    <w:p>
      <w:pPr>
        <w:spacing w:line="556" w:lineRule="exact"/>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为进一步规范财政资金管理，牢固树立预算绩效理念，强化支出责任，提高财政资金使用效益，根据《益阳市人民政府关于全面推进预算绩效管理的实施意见》（益政发【2013】10号）、《益阳市财政局关于转发〈湖南省预算绩效管理工作规程（试行）〉的通知》（益财绩〔2014〕126号）,</w:t>
      </w:r>
      <w:r>
        <w:rPr>
          <w:rFonts w:hint="eastAsia" w:ascii="仿宋" w:hAnsi="仿宋" w:eastAsia="仿宋" w:cs="仿宋"/>
          <w:b w:val="0"/>
          <w:bCs w:val="0"/>
          <w:sz w:val="32"/>
          <w:szCs w:val="32"/>
          <w:highlight w:val="none"/>
        </w:rPr>
        <w:t>按照</w:t>
      </w:r>
      <w:r>
        <w:rPr>
          <w:rFonts w:hint="eastAsia" w:ascii="仿宋" w:hAnsi="仿宋" w:eastAsia="仿宋" w:cs="仿宋"/>
          <w:b w:val="0"/>
          <w:bCs w:val="0"/>
          <w:sz w:val="32"/>
          <w:szCs w:val="32"/>
        </w:rPr>
        <w:t>《益阳市财政局关于开展</w:t>
      </w:r>
      <w:r>
        <w:rPr>
          <w:rFonts w:hint="eastAsia" w:ascii="仿宋" w:hAnsi="仿宋" w:eastAsia="仿宋" w:cs="仿宋"/>
          <w:b w:val="0"/>
          <w:bCs w:val="0"/>
          <w:sz w:val="32"/>
          <w:szCs w:val="32"/>
          <w:lang w:eastAsia="zh-CN"/>
        </w:rPr>
        <w:t>2018年</w:t>
      </w:r>
      <w:r>
        <w:rPr>
          <w:rFonts w:hint="eastAsia" w:ascii="仿宋" w:hAnsi="仿宋" w:eastAsia="仿宋" w:cs="仿宋"/>
          <w:b w:val="0"/>
          <w:bCs w:val="0"/>
          <w:sz w:val="32"/>
          <w:szCs w:val="32"/>
        </w:rPr>
        <w:t>度预算绩效自评工作的通知》（益财绩〔201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72</w:t>
      </w:r>
      <w:r>
        <w:rPr>
          <w:rFonts w:hint="eastAsia" w:ascii="仿宋" w:hAnsi="仿宋" w:eastAsia="仿宋" w:cs="仿宋"/>
          <w:b w:val="0"/>
          <w:bCs w:val="0"/>
          <w:sz w:val="32"/>
          <w:szCs w:val="32"/>
        </w:rPr>
        <w:t>号）</w:t>
      </w:r>
      <w:r>
        <w:rPr>
          <w:rFonts w:hint="eastAsia" w:ascii="仿宋" w:hAnsi="仿宋" w:eastAsia="仿宋" w:cs="仿宋"/>
          <w:b w:val="0"/>
          <w:bCs w:val="0"/>
          <w:sz w:val="32"/>
          <w:szCs w:val="32"/>
          <w:highlight w:val="none"/>
        </w:rPr>
        <w:t>的部署</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rPr>
        <w:t>组织召开了专题会议，制定了工作计划，成立了工作领导小组，组织开展绩效评价工作。</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（二）部门决算中项目绩效自评结果</w:t>
      </w:r>
    </w:p>
    <w:p>
      <w:pPr>
        <w:spacing w:line="556" w:lineRule="exact"/>
        <w:ind w:firstLine="64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本单位无项目绩效。</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（三）以部门为主体开展的重点绩效评价、结果</w:t>
      </w:r>
    </w:p>
    <w:p>
      <w:pPr>
        <w:spacing w:line="556" w:lineRule="exact"/>
        <w:ind w:firstLine="64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本单位无</w:t>
      </w:r>
      <w:r>
        <w:rPr>
          <w:rFonts w:hint="eastAsia" w:ascii="仿宋" w:hAnsi="仿宋" w:eastAsia="仿宋" w:cs="仿宋"/>
          <w:b w:val="0"/>
          <w:bCs w:val="0"/>
          <w:sz w:val="32"/>
          <w:szCs w:val="32"/>
          <w:lang w:eastAsia="zh-CN"/>
        </w:rPr>
        <w:t>重点</w:t>
      </w:r>
      <w:r>
        <w:rPr>
          <w:rFonts w:hint="eastAsia" w:ascii="仿宋" w:hAnsi="仿宋" w:eastAsia="仿宋" w:cs="仿宋"/>
          <w:b w:val="0"/>
          <w:bCs w:val="0"/>
          <w:sz w:val="32"/>
          <w:szCs w:val="32"/>
        </w:rPr>
        <w:t>项目绩效。</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十、其他重要事项的情况说明</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（一）预决算收支增减变化情况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auto"/>
          <w:spacing w:val="0"/>
          <w:sz w:val="32"/>
          <w:szCs w:val="32"/>
          <w:shd w:val="clear" w:fill="FFFFFF"/>
        </w:rPr>
        <w:t>年初部门预算：收入总计</w:t>
      </w:r>
      <w:r>
        <w:rPr>
          <w:rFonts w:hint="eastAsia" w:ascii="仿宋" w:hAnsi="仿宋" w:eastAsia="仿宋" w:cs="仿宋"/>
          <w:b w:val="0"/>
          <w:bCs w:val="0"/>
          <w:i w:val="0"/>
          <w:caps w:val="0"/>
          <w:color w:val="auto"/>
          <w:spacing w:val="0"/>
          <w:sz w:val="32"/>
          <w:szCs w:val="32"/>
          <w:shd w:val="clear" w:fill="FFFFFF"/>
          <w:lang w:val="en-US" w:eastAsia="zh-CN"/>
        </w:rPr>
        <w:t>103.77万元，</w:t>
      </w:r>
      <w:r>
        <w:rPr>
          <w:rFonts w:hint="eastAsia" w:ascii="仿宋" w:hAnsi="仿宋" w:eastAsia="仿宋" w:cs="仿宋"/>
          <w:b w:val="0"/>
          <w:bCs w:val="0"/>
          <w:i w:val="0"/>
          <w:caps w:val="0"/>
          <w:color w:val="auto"/>
          <w:spacing w:val="0"/>
          <w:sz w:val="32"/>
          <w:szCs w:val="32"/>
          <w:shd w:val="clear" w:fill="FFFFFF"/>
        </w:rPr>
        <w:t>支出总计</w:t>
      </w:r>
      <w:r>
        <w:rPr>
          <w:rFonts w:hint="eastAsia" w:ascii="仿宋" w:hAnsi="仿宋" w:eastAsia="仿宋" w:cs="仿宋"/>
          <w:b w:val="0"/>
          <w:bCs w:val="0"/>
          <w:i w:val="0"/>
          <w:caps w:val="0"/>
          <w:color w:val="auto"/>
          <w:spacing w:val="0"/>
          <w:sz w:val="32"/>
          <w:szCs w:val="32"/>
          <w:shd w:val="clear" w:fill="FFFFFF"/>
          <w:lang w:val="en-US" w:eastAsia="zh-CN"/>
        </w:rPr>
        <w:t>103.77万元；</w:t>
      </w:r>
      <w:r>
        <w:rPr>
          <w:rFonts w:hint="eastAsia" w:ascii="仿宋" w:hAnsi="仿宋" w:eastAsia="仿宋" w:cs="仿宋"/>
          <w:b w:val="0"/>
          <w:bCs w:val="0"/>
          <w:i w:val="0"/>
          <w:caps w:val="0"/>
          <w:color w:val="auto"/>
          <w:spacing w:val="0"/>
          <w:sz w:val="32"/>
          <w:szCs w:val="32"/>
          <w:shd w:val="clear" w:fill="FFFFFF"/>
        </w:rPr>
        <w:t>年末部门决算：收入总计</w:t>
      </w:r>
      <w:r>
        <w:rPr>
          <w:rFonts w:hint="eastAsia" w:ascii="仿宋" w:hAnsi="仿宋" w:eastAsia="仿宋" w:cs="仿宋"/>
          <w:b w:val="0"/>
          <w:bCs w:val="0"/>
          <w:i w:val="0"/>
          <w:caps w:val="0"/>
          <w:color w:val="auto"/>
          <w:spacing w:val="0"/>
          <w:sz w:val="32"/>
          <w:szCs w:val="32"/>
          <w:shd w:val="clear" w:fill="FFFFFF"/>
          <w:lang w:val="en-US" w:eastAsia="zh-CN"/>
        </w:rPr>
        <w:t>117.48万元，</w:t>
      </w:r>
      <w:r>
        <w:rPr>
          <w:rFonts w:hint="eastAsia" w:ascii="仿宋" w:hAnsi="仿宋" w:eastAsia="仿宋" w:cs="仿宋"/>
          <w:b w:val="0"/>
          <w:bCs w:val="0"/>
          <w:i w:val="0"/>
          <w:caps w:val="0"/>
          <w:color w:val="auto"/>
          <w:spacing w:val="0"/>
          <w:sz w:val="32"/>
          <w:szCs w:val="32"/>
          <w:shd w:val="clear" w:fill="FFFFFF"/>
        </w:rPr>
        <w:t>支出总计</w:t>
      </w:r>
      <w:r>
        <w:rPr>
          <w:rFonts w:hint="eastAsia" w:ascii="仿宋" w:hAnsi="仿宋" w:eastAsia="仿宋" w:cs="仿宋"/>
          <w:b w:val="0"/>
          <w:bCs w:val="0"/>
          <w:i w:val="0"/>
          <w:caps w:val="0"/>
          <w:color w:val="auto"/>
          <w:spacing w:val="0"/>
          <w:sz w:val="32"/>
          <w:szCs w:val="32"/>
          <w:shd w:val="clear" w:fill="FFFFFF"/>
          <w:lang w:val="en-US" w:eastAsia="zh-CN"/>
        </w:rPr>
        <w:t>115.61万元。</w:t>
      </w:r>
    </w:p>
    <w:p>
      <w:pPr>
        <w:ind w:firstLine="640"/>
        <w:jc w:val="left"/>
        <w:rPr>
          <w:rFonts w:hint="eastAsia" w:ascii="仿宋" w:hAnsi="仿宋" w:eastAsia="仿宋" w:cs="仿宋"/>
          <w:b w:val="0"/>
          <w:bCs w:val="0"/>
          <w:color w:val="FF0000"/>
          <w:sz w:val="32"/>
          <w:szCs w:val="32"/>
        </w:rPr>
      </w:pPr>
      <w:r>
        <w:rPr>
          <w:rFonts w:hint="eastAsia" w:ascii="仿宋" w:hAnsi="仿宋" w:eastAsia="仿宋" w:cs="仿宋"/>
          <w:b w:val="0"/>
          <w:bCs w:val="0"/>
          <w:sz w:val="32"/>
          <w:szCs w:val="32"/>
        </w:rPr>
        <w:t>（二）机关运行经费支出情况</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本部门2019年度机关运行经费支出</w:t>
      </w:r>
      <w:r>
        <w:rPr>
          <w:rFonts w:hint="eastAsia" w:ascii="仿宋" w:hAnsi="仿宋" w:eastAsia="仿宋" w:cs="仿宋"/>
          <w:b w:val="0"/>
          <w:bCs w:val="0"/>
          <w:sz w:val="32"/>
          <w:szCs w:val="32"/>
          <w:lang w:val="en-US" w:eastAsia="zh-CN"/>
        </w:rPr>
        <w:t>11.46</w:t>
      </w:r>
      <w:r>
        <w:rPr>
          <w:rFonts w:hint="eastAsia" w:ascii="仿宋" w:hAnsi="仿宋" w:eastAsia="仿宋" w:cs="仿宋"/>
          <w:b w:val="0"/>
          <w:bCs w:val="0"/>
          <w:sz w:val="32"/>
          <w:szCs w:val="32"/>
        </w:rPr>
        <w:t>万元，较上年增加</w:t>
      </w:r>
      <w:r>
        <w:rPr>
          <w:rFonts w:hint="eastAsia" w:ascii="仿宋" w:hAnsi="仿宋" w:eastAsia="仿宋" w:cs="仿宋"/>
          <w:b w:val="0"/>
          <w:bCs w:val="0"/>
          <w:sz w:val="32"/>
          <w:szCs w:val="32"/>
          <w:lang w:val="en-US" w:eastAsia="zh-CN"/>
        </w:rPr>
        <w:t>2.99</w:t>
      </w:r>
      <w:r>
        <w:rPr>
          <w:rFonts w:hint="eastAsia" w:ascii="仿宋" w:hAnsi="仿宋" w:eastAsia="仿宋" w:cs="仿宋"/>
          <w:b w:val="0"/>
          <w:bCs w:val="0"/>
          <w:sz w:val="32"/>
          <w:szCs w:val="32"/>
        </w:rPr>
        <w:t>万元，增</w:t>
      </w:r>
      <w:r>
        <w:rPr>
          <w:rFonts w:hint="eastAsia" w:ascii="仿宋" w:hAnsi="仿宋" w:eastAsia="仿宋" w:cs="仿宋"/>
          <w:b w:val="0"/>
          <w:bCs w:val="0"/>
          <w:sz w:val="32"/>
          <w:szCs w:val="32"/>
          <w:lang w:val="en-US" w:eastAsia="zh-CN"/>
        </w:rPr>
        <w:t>26.09</w:t>
      </w:r>
      <w:r>
        <w:rPr>
          <w:rFonts w:hint="eastAsia" w:ascii="仿宋" w:hAnsi="仿宋" w:eastAsia="仿宋" w:cs="仿宋"/>
          <w:b w:val="0"/>
          <w:bCs w:val="0"/>
          <w:sz w:val="32"/>
          <w:szCs w:val="32"/>
        </w:rPr>
        <w:t>%，主要原因是：</w:t>
      </w:r>
      <w:r>
        <w:rPr>
          <w:rFonts w:hint="eastAsia" w:ascii="仿宋" w:hAnsi="仿宋" w:eastAsia="仿宋" w:cs="仿宋"/>
          <w:b w:val="0"/>
          <w:bCs w:val="0"/>
          <w:sz w:val="32"/>
          <w:szCs w:val="32"/>
          <w:lang w:val="en-US" w:eastAsia="zh-CN"/>
        </w:rPr>
        <w:t>办公经费的增加等</w:t>
      </w:r>
      <w:r>
        <w:rPr>
          <w:rFonts w:hint="eastAsia" w:ascii="仿宋" w:hAnsi="仿宋" w:eastAsia="仿宋" w:cs="仿宋"/>
          <w:b w:val="0"/>
          <w:bCs w:val="0"/>
          <w:sz w:val="32"/>
          <w:szCs w:val="32"/>
          <w:lang w:eastAsia="zh-CN"/>
        </w:rPr>
        <w:t>。</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（三）政府采购支出情况</w:t>
      </w:r>
    </w:p>
    <w:p>
      <w:pPr>
        <w:ind w:firstLine="640"/>
        <w:jc w:val="left"/>
        <w:rPr>
          <w:rFonts w:hint="eastAsia" w:ascii="仿宋" w:hAnsi="仿宋" w:eastAsia="仿宋" w:cs="仿宋"/>
          <w:b w:val="0"/>
          <w:bCs w:val="0"/>
          <w:color w:val="FF0000"/>
          <w:sz w:val="32"/>
          <w:szCs w:val="32"/>
          <w:lang w:val="en-US" w:eastAsia="zh-CN"/>
        </w:rPr>
      </w:pPr>
      <w:r>
        <w:rPr>
          <w:rFonts w:hint="eastAsia" w:ascii="仿宋" w:hAnsi="仿宋" w:eastAsia="仿宋" w:cs="仿宋"/>
          <w:b w:val="0"/>
          <w:bCs w:val="0"/>
          <w:spacing w:val="0"/>
          <w:kern w:val="0"/>
          <w:sz w:val="32"/>
          <w:szCs w:val="32"/>
          <w:shd w:val="clear" w:fill="FFFFFF"/>
          <w:lang w:val="en-US" w:eastAsia="zh-CN" w:bidi="ar"/>
        </w:rPr>
        <w:t>益阳市</w:t>
      </w:r>
      <w:r>
        <w:rPr>
          <w:rFonts w:hint="eastAsia" w:ascii="仿宋" w:hAnsi="仿宋" w:eastAsia="仿宋" w:cs="仿宋"/>
          <w:b w:val="0"/>
          <w:bCs w:val="0"/>
          <w:color w:val="000000"/>
          <w:kern w:val="0"/>
          <w:sz w:val="32"/>
          <w:szCs w:val="32"/>
          <w:shd w:val="clear" w:fill="FFFFFF"/>
          <w:lang w:val="en-US" w:eastAsia="zh-CN" w:bidi="ar"/>
        </w:rPr>
        <w:t>规划局赫山规划分局2019年度无政府采购支出。</w:t>
      </w:r>
    </w:p>
    <w:p>
      <w:pPr>
        <w:ind w:firstLine="64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（四）国有资产占用情况。</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rPr>
        <w:t>截至2019年12月31日，本部门共有车辆</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辆，其中，领导干部用车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辆、一般公务用车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辆、一般执法执勤用车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辆、特种专业技术用车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辆、其他用车</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辆，</w:t>
      </w:r>
      <w:r>
        <w:rPr>
          <w:rFonts w:hint="eastAsia" w:ascii="仿宋" w:hAnsi="仿宋" w:eastAsia="仿宋" w:cs="仿宋"/>
          <w:b w:val="0"/>
          <w:bCs w:val="0"/>
          <w:sz w:val="32"/>
          <w:szCs w:val="32"/>
          <w:lang w:eastAsia="zh-CN"/>
        </w:rPr>
        <w:t>本单位</w:t>
      </w:r>
      <w:r>
        <w:rPr>
          <w:rFonts w:hint="eastAsia" w:ascii="仿宋" w:hAnsi="仿宋" w:eastAsia="仿宋" w:cs="仿宋"/>
          <w:b w:val="0"/>
          <w:bCs w:val="0"/>
          <w:sz w:val="32"/>
          <w:szCs w:val="32"/>
          <w:highlight w:val="none"/>
          <w:lang w:eastAsia="zh-CN"/>
        </w:rPr>
        <w:t>无价值</w:t>
      </w:r>
      <w:r>
        <w:rPr>
          <w:rFonts w:hint="eastAsia" w:ascii="仿宋" w:hAnsi="仿宋" w:eastAsia="仿宋" w:cs="仿宋"/>
          <w:b w:val="0"/>
          <w:bCs w:val="0"/>
          <w:sz w:val="32"/>
          <w:szCs w:val="32"/>
          <w:highlight w:val="none"/>
          <w:lang w:val="en-US" w:eastAsia="zh-CN"/>
        </w:rPr>
        <w:t>50万元以上通用设备。</w:t>
      </w: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第四部分名词解释</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一、财政拨款收入：指中央财政当年拨付的资金。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三、经营收入：指事业单位在专业业务活动及其辅助活动之外开展非独立核算经营活动取得的收入。如：中国财政杂志社广告收入等。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四、其他收入：指除上述“财政拨款收入”、“事业收入”、“经营收入”等以外的收入。主要是按规定动用的售房收入、存款利息收入等。</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六、年初结转和结余：指以前年度尚未完成、结转到本年按有关规定继续使用的资金。</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八、年末结转和结余：指本年度或以前年度预算安排、因客观条件发生变化无法按原计划实施，需要延迟到以后年度按有关规定继续使用的资金。</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九、基本支出：指为保障机构正常运转、完成日常工</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作任务而发生的人员支出和公用支出。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十、项目支出：指在基本支出之外为完成特定行政任务和事业发展目标所发生的支出。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十一、经营支出：指事业单位在专业业务活动及其辅助活动之外开展非独立核算经营活动发生的支出。</w:t>
      </w:r>
    </w:p>
    <w:p>
      <w:pPr>
        <w:ind w:firstLine="643"/>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3"/>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5A67F"/>
    <w:multiLevelType w:val="singleLevel"/>
    <w:tmpl w:val="1C05A67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8E16F5"/>
    <w:rsid w:val="06F332AB"/>
    <w:rsid w:val="072E2BA2"/>
    <w:rsid w:val="09A56C5C"/>
    <w:rsid w:val="0C4C35C1"/>
    <w:rsid w:val="1240555A"/>
    <w:rsid w:val="125F5ED1"/>
    <w:rsid w:val="19BE4176"/>
    <w:rsid w:val="1AC810E3"/>
    <w:rsid w:val="1B762143"/>
    <w:rsid w:val="21D037A4"/>
    <w:rsid w:val="224E4DC7"/>
    <w:rsid w:val="279A274D"/>
    <w:rsid w:val="2E0A13F5"/>
    <w:rsid w:val="301A3688"/>
    <w:rsid w:val="30F1217C"/>
    <w:rsid w:val="33BC3FF7"/>
    <w:rsid w:val="34A00CCE"/>
    <w:rsid w:val="3B7D3391"/>
    <w:rsid w:val="3D085473"/>
    <w:rsid w:val="4A4E0BB4"/>
    <w:rsid w:val="4A7705EF"/>
    <w:rsid w:val="4EFC6208"/>
    <w:rsid w:val="52705936"/>
    <w:rsid w:val="52C41C37"/>
    <w:rsid w:val="5DDD254F"/>
    <w:rsid w:val="5DE304AE"/>
    <w:rsid w:val="632D0E51"/>
    <w:rsid w:val="63301092"/>
    <w:rsid w:val="66521787"/>
    <w:rsid w:val="66FE3B6C"/>
    <w:rsid w:val="68D15BCD"/>
    <w:rsid w:val="69402928"/>
    <w:rsid w:val="71F9220F"/>
    <w:rsid w:val="73CF06DE"/>
    <w:rsid w:val="770F4A2D"/>
    <w:rsid w:val="79857970"/>
    <w:rsid w:val="7D2C0A24"/>
    <w:rsid w:val="7F792556"/>
    <w:rsid w:val="7F91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2021-05-22T07:33:25Z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24F8D47FCCCB438197B2349C3F6B1AB5</vt:lpwstr>
  </property>
</Properties>
</file>