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目</w:t>
      </w:r>
      <w:r>
        <w:rPr>
          <w:rFonts w:ascii="方正小标宋_GBK" w:hAnsi="方正小标宋_GBK" w:eastAsia="方正小标宋_GBK" w:cs="方正小标宋_GBK"/>
          <w:i w:val="0"/>
          <w:caps w:val="0"/>
          <w:color w:val="062D3C"/>
          <w:spacing w:val="0"/>
          <w:kern w:val="0"/>
          <w:sz w:val="44"/>
          <w:szCs w:val="44"/>
          <w:shd w:val="clear" w:fill="FFFFFF"/>
          <w:lang w:val="en-US" w:eastAsia="zh-CN" w:bidi="ar"/>
        </w:rPr>
        <w:t> </w:t>
      </w:r>
      <w:r>
        <w:rPr>
          <w:rFonts w:hint="eastAsia" w:ascii="宋体" w:hAnsi="宋体" w:eastAsia="宋体" w:cs="宋体"/>
          <w:i w:val="0"/>
          <w:caps w:val="0"/>
          <w:color w:val="062D3C"/>
          <w:spacing w:val="0"/>
          <w:kern w:val="0"/>
          <w:sz w:val="44"/>
          <w:szCs w:val="44"/>
          <w:shd w:val="clear" w:fill="FFFFFF"/>
          <w:lang w:val="en-US" w:eastAsia="zh-CN" w:bidi="ar"/>
        </w:rPr>
        <w:t>录</w:t>
      </w:r>
      <w:r>
        <w:rPr>
          <w:rFonts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ascii="黑体" w:hAnsi="宋体" w:eastAsia="黑体" w:cs="黑体"/>
          <w:i w:val="0"/>
          <w:caps w:val="0"/>
          <w:color w:val="062D3C"/>
          <w:spacing w:val="0"/>
          <w:kern w:val="0"/>
          <w:sz w:val="32"/>
          <w:szCs w:val="32"/>
          <w:shd w:val="clear" w:fill="FFFFFF"/>
          <w:lang w:val="en-US" w:eastAsia="zh-CN" w:bidi="ar"/>
        </w:rPr>
        <w:t>第一部分</w:t>
      </w:r>
      <w:r>
        <w:rPr>
          <w:rFonts w:hint="eastAsia" w:ascii="黑体" w:hAnsi="宋体" w:eastAsia="黑体" w:cs="黑体"/>
          <w:i w:val="0"/>
          <w:caps w:val="0"/>
          <w:color w:val="062D3C"/>
          <w:spacing w:val="0"/>
          <w:kern w:val="0"/>
          <w:sz w:val="32"/>
          <w:szCs w:val="32"/>
          <w:shd w:val="clear" w:fill="FFFFFF"/>
          <w:lang w:val="en-US" w:eastAsia="zh-CN" w:bidi="ar"/>
        </w:rPr>
        <w:t> 益阳市粮食局单位概况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ascii="楷体" w:hAnsi="楷体" w:eastAsia="楷体" w:cs="楷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第二部分 益阳市粮食局2018年度部门决算表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五、一般公共预算财政拨款支出决算表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六、一般公共预算财政拨款基本支出决算表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七、一般公共预算财政拨款“三公”经费支出决算表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八、政府性基金预算财政拨款收入支出决算表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第三部分 益阳市粮食局2018年度部门决算情况说明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第一部分 益阳市粮食局概况</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我局职责职能是：1、贯彻执行国家和省、市有关粮食流通和粮食储备的法规和方针、政策，研究制定全市粮食行业和储备粮中长期规划；制定全市粮食流通体制改革方案，并负责组织实施。2、落实粮食宏观调控措施，负责开展全市粮食流通统计工作，研究制定粮食应急保障预案并组织落实；确保军队政策性粮食供应：维护粮食区域性安全。3、建立完善地方储备粮体系，负责对省市储备粮的安全储藏、推陈储新进行监督检查和指导；负责粮食质量监测管理。4、监督检查全市粮食流通和储备粮、粮食市场管理的法律法规及各项规章制度的执行情况；依法组织开展粮食经营资格审核检查，依法查处粮食经营违法违规行为；指导区县(市)粮食局开展粮食行政执行工作。5、负责建设和规范粮食市场体系，搞好粮食市场预测和信息发布；负责全市粮食仓储、加工和流通设施建设的规划、布局。6、实施全市粮食行业指导，制定调整产业布局、粮食资源配置规划；推进粮食科技进步，组织实施粮食质量标准、计量标准化管理工作。7、负责市直国有粮食企业管理，积极推行企业改革，加强审计监督；对粮食行业国有资产保值增值实行管理和监督。8、承办市委、市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hanging="795"/>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办公室、人事科、行业管理科、调控储备科、法规监督检查科、财务科、局直单位党委、离退休人员管理科。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95" w:right="0" w:hanging="795"/>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从决算单位构成看，益阳市粮食局部门决算包括：未独立核算的益阳市军粮供应站，益阳市粮食执法支队，益阳市粮油质量检测站。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tbl>
      <w:tblPr>
        <w:tblStyle w:val="2"/>
        <w:tblW w:w="8424" w:type="dxa"/>
        <w:tblInd w:w="98" w:type="dxa"/>
        <w:shd w:val="clear" w:color="auto" w:fill="FFFFFF"/>
        <w:tblLayout w:type="autofit"/>
        <w:tblCellMar>
          <w:top w:w="15" w:type="dxa"/>
          <w:left w:w="15" w:type="dxa"/>
          <w:bottom w:w="15" w:type="dxa"/>
          <w:right w:w="15" w:type="dxa"/>
        </w:tblCellMar>
      </w:tblPr>
      <w:tblGrid>
        <w:gridCol w:w="2212"/>
        <w:gridCol w:w="6212"/>
      </w:tblGrid>
      <w:tr>
        <w:tblPrEx>
          <w:shd w:val="clear" w:color="auto" w:fill="FFFFFF"/>
          <w:tblCellMar>
            <w:top w:w="15" w:type="dxa"/>
            <w:left w:w="15" w:type="dxa"/>
            <w:bottom w:w="15" w:type="dxa"/>
            <w:right w:w="15" w:type="dxa"/>
          </w:tblCellMar>
        </w:tblPrEx>
        <w:trPr>
          <w:trHeight w:val="1"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序号</w:t>
            </w:r>
          </w:p>
        </w:tc>
        <w:tc>
          <w:tcPr>
            <w:tcW w:w="621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单位名称</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val="0"/>
                <w:i w:val="0"/>
                <w:caps w:val="0"/>
                <w:color w:val="062D3C"/>
                <w:spacing w:val="0"/>
                <w:kern w:val="0"/>
                <w:sz w:val="28"/>
                <w:szCs w:val="28"/>
                <w:lang w:val="en-US" w:eastAsia="zh-CN" w:bidi="ar"/>
              </w:rPr>
              <w:t>1</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b w:val="0"/>
                <w:i w:val="0"/>
                <w:caps w:val="0"/>
                <w:color w:val="062D3C"/>
                <w:spacing w:val="0"/>
                <w:kern w:val="0"/>
                <w:sz w:val="22"/>
                <w:szCs w:val="22"/>
                <w:lang w:val="en-US" w:eastAsia="zh-CN" w:bidi="ar"/>
              </w:rPr>
              <w:t>益阳市粮食局</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2</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i w:val="0"/>
                <w:caps w:val="0"/>
                <w:color w:val="062D3C"/>
                <w:spacing w:val="0"/>
                <w:kern w:val="0"/>
                <w:sz w:val="22"/>
                <w:szCs w:val="22"/>
                <w:lang w:val="en-US" w:eastAsia="zh-CN" w:bidi="ar"/>
              </w:rPr>
              <w:t>益阳市粮食执法支队</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3</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i w:val="0"/>
                <w:caps w:val="0"/>
                <w:color w:val="062D3C"/>
                <w:spacing w:val="0"/>
                <w:kern w:val="0"/>
                <w:sz w:val="22"/>
                <w:szCs w:val="22"/>
                <w:lang w:val="en-US" w:eastAsia="zh-CN" w:bidi="ar"/>
              </w:rPr>
              <w:t>益阳市军粮供应站</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4</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i w:val="0"/>
                <w:caps w:val="0"/>
                <w:color w:val="062D3C"/>
                <w:spacing w:val="0"/>
                <w:kern w:val="0"/>
                <w:sz w:val="22"/>
                <w:szCs w:val="22"/>
                <w:lang w:val="en-US" w:eastAsia="zh-CN" w:bidi="ar"/>
              </w:rPr>
              <w:t>益阳市粮油质量检测站</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5</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i w:val="0"/>
                <w:caps w:val="0"/>
                <w:color w:val="062D3C"/>
                <w:spacing w:val="0"/>
                <w:kern w:val="0"/>
                <w:sz w:val="22"/>
                <w:szCs w:val="22"/>
                <w:lang w:val="en-US" w:eastAsia="zh-CN" w:bidi="ar"/>
              </w:rPr>
              <w:t> </w:t>
            </w:r>
          </w:p>
        </w:tc>
      </w:tr>
      <w:tr>
        <w:tblPrEx>
          <w:tblCellMar>
            <w:top w:w="15" w:type="dxa"/>
            <w:left w:w="15" w:type="dxa"/>
            <w:bottom w:w="15" w:type="dxa"/>
            <w:right w:w="15" w:type="dxa"/>
          </w:tblCellMar>
        </w:tblPrEx>
        <w:trPr>
          <w:trHeight w:val="1" w:hRule="atLeast"/>
        </w:trPr>
        <w:tc>
          <w:tcPr>
            <w:tcW w:w="2212"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pPr>
            <w:r>
              <w:rPr>
                <w:rFonts w:hint="eastAsia" w:ascii="仿宋" w:hAnsi="仿宋" w:eastAsia="仿宋" w:cs="仿宋"/>
                <w:b/>
                <w:i w:val="0"/>
                <w:caps w:val="0"/>
                <w:color w:val="062D3C"/>
                <w:spacing w:val="0"/>
                <w:kern w:val="0"/>
                <w:sz w:val="28"/>
                <w:szCs w:val="28"/>
                <w:lang w:val="en-US" w:eastAsia="zh-CN" w:bidi="ar"/>
              </w:rPr>
              <w:t>6</w:t>
            </w:r>
          </w:p>
        </w:tc>
        <w:tc>
          <w:tcPr>
            <w:tcW w:w="621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pPr>
            <w:r>
              <w:rPr>
                <w:rFonts w:hint="eastAsia" w:ascii="宋体" w:hAnsi="宋体" w:eastAsia="宋体" w:cs="宋体"/>
                <w:i w:val="0"/>
                <w:caps w:val="0"/>
                <w:color w:val="062D3C"/>
                <w:spacing w:val="0"/>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微软雅黑" w:hAnsi="微软雅黑" w:eastAsia="微软雅黑" w:cs="微软雅黑"/>
          <w:i w:val="0"/>
          <w:caps w:val="0"/>
          <w:color w:val="062D3C"/>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第二部分 益阳市粮食局2018年度部门决算表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表1：收入支出决算总表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表2：收入决算表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表3：支出决算表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表4：财政拨款收入支出决算总表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表5：一般公共预算财政拨款支出决算表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表6：一般公共预算财政拨款基本支出决算表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表7：一般公共预算财政拨款“三公”经费支出决算表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表8：政府性基金预算财政拨款收入支出决算表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益阳市粮食局2018年度部门决算情况说明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一、关于益阳市粮食局单位2018年度收入支出决算总体情况说明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粮食局2018年度收入总计2147.21万元，比上年同期增加1006.454万元，增长88%；支出总计1847.21万元，比上年同期增加706.44万元，增长62%。主要原因：一是增加了一个对二级机构中心粮食储备库的补助支出744万元，二是增加了2018年优质粮油工程款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2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二、关于益阳市粮食局2018年度收入决算情况说明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2018年度收入合计 2147.21万元，其中：财政拨款收入1975.60万元，占 92%；其他收入171.61万元，占0.8%。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720" w:right="0" w:firstLine="42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三、关于益阳市粮食局2018年度支出决算情况说明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2018年度支出合计1847.21万元，其中：基本支出1845.21万元，占99.9%；项目支出2.00万元，占0.1%。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 四、关于益阳市粮食局2018年度财政拨款收入支出决算总体情况说明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2018年度财政拨款收入总计1975.60万元，比上年同期增加1034.84万元，增长110%；财政拨款支出总计1847.21万元，比上年同期增加906.45万元，增长96%。主要原因：政府性基金预算财政拨款744万元，用于对益阳市中心粮食储备库的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五、关于益阳市粮食局2018年度一般公共预算财政拨款收入支出决算情况说明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（一）一般公共预算财政拨款收入支出决算总体情况。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2018年度一般公共预算财政拨款收入总计1231.60万元，比上年同期增加290.84万元，增长30.91%；一般公共预算财政拨款支出总计931.60万元，比上年同期增减少9.16万元，下降0.97%。主要原因：人员变动，增加退休人员。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（二）一般公共预算财政拨款支出决算构成情况。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一般公共服务支出20.00万元，占 1.62%；社会保障和就业支出43.47万元，占3.53%；医疗卫生与计划生育支出35.93万元，占2.92%；农林水支出4万元，占0.32%；资源勘探信息等支出1.5万元，占0.12%；住房保障支出37.62万元，占3.06%；商业服务业等支出134.13万元，占10.89%；粮油物资储备支出654.95万元，占53.18%；年末结转结余300万元，占24.36%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2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（三）一般公共预算财政拨款支出决算具体情况。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1.一般公共服务支出财政拨款支出20.00万元，主要用于局机关行政运行、一般行政管理事务、粮食质量的检测、粮食购销活动的监督、粮食流通的宏观调控、纪检监察事务、招商引资、其他一般公共服务支出。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 社会保障和就业财政拨款支出43.47万元，主要用于局机关人员社会保障开支。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3.医疗卫生与计划生育财政拨款支出35.93万元，主要用于局机关人员医疗保障开支。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78"/>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4.农林水财政拨款支出4.00万元，主要用于农业专项工作支出。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5.资源勘探信息等财政拨款支出1.50万元，主要用于安全生产专项支出。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2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6.商业服务业等财政拨款支出134.13万元，主要用于商业流通事务。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7.住房保障财政拨款支出37.62万元，主要用于局机关人员住房公积金支出。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8.粮油物资储备财政拨款支出654.95万元，主要用于粮油事务。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9.年末结转结余300万元，主要是2018年的优质粮油工程款。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六、关于益阳市粮食局2018年度一般公共预算财政拨款基本支出决算情况说明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2018年度一般公共预算财政拨款基本支出929.60万元，其中人员经费支出789.97</w:t>
      </w:r>
      <w:bookmarkStart w:id="0" w:name="_GoBack"/>
      <w:bookmarkEnd w:id="0"/>
      <w:r>
        <w:rPr>
          <w:rFonts w:hint="eastAsia" w:ascii="仿宋" w:hAnsi="仿宋" w:eastAsia="仿宋" w:cs="仿宋"/>
          <w:i w:val="0"/>
          <w:caps w:val="0"/>
          <w:color w:val="062D3C"/>
          <w:spacing w:val="0"/>
          <w:kern w:val="0"/>
          <w:sz w:val="32"/>
          <w:szCs w:val="32"/>
          <w:shd w:val="clear" w:fill="FFFFFF"/>
          <w:lang w:val="en-US" w:eastAsia="zh-CN" w:bidi="ar"/>
        </w:rPr>
        <w:t>万元，主要包括：基本工资、津贴补贴、奖金、机关事业单位基本养老保险缴费、职业年金缴费、职工基本医疗保险缴费、住房公积金、其他工资福利支出；公用经费支出139.63万元。主要包括：办公费、印刷费、水费、电费、邮电费、物业管理费、差旅费、维修费、会议费、培训费、公务接待费、工委经费、福利费、公务用车运行、税金及附加费用、其他商铺和服务支出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七、关于益阳市粮食局2018年度政府性基金预算财政拨款支出决算情况说明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（一）政府性基金预算财政拨款收入支出决算总体情况。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政府性基金预算财政拨款收入总计744万元，比上年同期增加744万元，增长100%；政府性基金预算财政拨款支出总计744万元，比上年同期增加744万元，增长100%。主要原因：2018年增加一个对益阳市中心粮食储备库的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（二）政府性基金预算财政拨款支出决算构成情况。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政府性基金预算财政拨款支出744万元，占100%。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（三）政府性基金预算财政拨款支出决算具体情况。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1.政府性基金预算财政拨款支出744.00万元，主要用于对二级机构益阳市中心粮食储备库的补助。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八、关于益阳市粮食局2018年度一般公共预算财政拨款“三公”经费支出决算情况说明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（一）“三公”经费财政拨款支出决算总体情况说明。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度“三公”经费财政拨款支出预算为18.92万元，支出决算为18.79万元，完成预算的99.31%，其中：因公出国（境）费支出决算为0万元，完成预算的0%；公务用车购置及运行费支出决算为13.87万元，完成预算的74%；公务接待费支出决算为4.92万元，完成预算的26%。2018年度“三公”经费支出决算数小于预算数的主要原因：一是规范公务车辆使用，降低车辆运行费。二是严格按规定程序审批接待费，从严控制接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（二）“三公”经费财政拨款支出决算具体情况说明。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 </w:t>
      </w:r>
      <w:r>
        <w:rPr>
          <w:rFonts w:hint="eastAsia" w:ascii="仿宋" w:hAnsi="仿宋" w:eastAsia="仿宋" w:cs="仿宋"/>
          <w:i w:val="0"/>
          <w:caps w:val="0"/>
          <w:color w:val="062D3C"/>
          <w:spacing w:val="0"/>
          <w:kern w:val="0"/>
          <w:sz w:val="32"/>
          <w:szCs w:val="32"/>
          <w:shd w:val="clear" w:fill="FFFFFF"/>
          <w:lang w:val="en-US" w:eastAsia="zh-CN" w:bidi="ar"/>
        </w:rPr>
        <w:t>2018年度“三公”经费财政拨款支出决算为18.79万元，其中：因公出国（境）费支出决算为0万元，占0%；公务用车购置及运行费支出决算为13.87万元，占74%；公务接待费支出决算为 4.92万元，占26%。2018年度“三公”经费支出决算数小于上年决算数的主要原因：一是规范公务车辆使用，降低车辆运行费。二是严格按规定程序审批接待费，从严控制接待费用。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1、因公出国（境）情况说明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因公出国（境）团组数0个，0人，因公出国（境）的开支内容无。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2、公务用车购置及运行经费情况说明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公务用车购置支出：0万元，购置数0台，保有量2台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运行经费支出：13.87万元，主要用于机要通信、离退休干部等公务方面用。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3、公务接待情况说明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公务接待支出4.92万元，国内公务接待84批次，接待820人。接待支出主要用于请示汇报、考察调研、学习交流等公务活动开支。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九、关于2018年度预算绩效情况说明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根据年初部门整体支出预算绩效目标，结合去年工作情况，我局2018年度整体支出绩效完成较好。一是资金使用效益高。基本支出经费保障了人员工资，机关运转；二是资金使用社会效益好。专项支出经费保障了项目工作顺利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在今后的工作我局一方面要严格预算编制，做到细化精确，争取一些费用纳入财政预算中；另一方面经费开支要严格按照八项规定执行。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黑体" w:hAnsi="宋体" w:eastAsia="黑体" w:cs="黑体"/>
          <w:i w:val="0"/>
          <w:caps w:val="0"/>
          <w:color w:val="062D3C"/>
          <w:spacing w:val="0"/>
          <w:kern w:val="0"/>
          <w:sz w:val="32"/>
          <w:szCs w:val="32"/>
          <w:shd w:val="clear" w:fill="FFFFFF"/>
          <w:lang w:val="en-US" w:eastAsia="zh-CN" w:bidi="ar"/>
        </w:rPr>
        <w:t>十、其他重要事项的情况说明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（一）预决算收支增减变化情况。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2018年我局预算安排收支722万，决算为1975.60万元。主要原因：一是按政策增加人员经费；二是增加了对下级企业的补助和2018年优质粮油工程款</w:t>
      </w:r>
      <w:r>
        <w:rPr>
          <w:rFonts w:hint="eastAsia" w:ascii="楷体" w:hAnsi="楷体" w:eastAsia="楷体" w:cs="楷体"/>
          <w:i w:val="0"/>
          <w:caps w:val="0"/>
          <w:color w:val="062D3C"/>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（二）机关运行经费支出情况。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ascii="仿宋_GB2312" w:hAnsi="微软雅黑" w:eastAsia="仿宋_GB2312" w:cs="仿宋_GB2312"/>
          <w:i w:val="0"/>
          <w:caps w:val="0"/>
          <w:color w:val="062D3C"/>
          <w:spacing w:val="0"/>
          <w:kern w:val="0"/>
          <w:sz w:val="32"/>
          <w:szCs w:val="32"/>
          <w:shd w:val="clear" w:fill="FFFFFF"/>
          <w:lang w:val="en-US" w:eastAsia="zh-CN" w:bidi="ar"/>
        </w:rPr>
        <w:t>   </w:t>
      </w:r>
      <w:r>
        <w:rPr>
          <w:rFonts w:hint="default" w:ascii="仿宋_GB2312" w:hAnsi="微软雅黑" w:eastAsia="仿宋_GB2312" w:cs="仿宋_GB2312"/>
          <w:i w:val="0"/>
          <w:caps w:val="0"/>
          <w:color w:val="062D3C"/>
          <w:spacing w:val="0"/>
          <w:kern w:val="0"/>
          <w:sz w:val="32"/>
          <w:szCs w:val="32"/>
          <w:shd w:val="clear" w:fill="FFFFFF"/>
          <w:lang w:val="en-US" w:eastAsia="zh-CN" w:bidi="ar"/>
        </w:rPr>
        <w:t> </w:t>
      </w:r>
      <w:r>
        <w:rPr>
          <w:rFonts w:hint="eastAsia" w:ascii="仿宋" w:hAnsi="仿宋" w:eastAsia="仿宋" w:cs="仿宋"/>
          <w:i w:val="0"/>
          <w:caps w:val="0"/>
          <w:color w:val="062D3C"/>
          <w:spacing w:val="0"/>
          <w:kern w:val="0"/>
          <w:sz w:val="32"/>
          <w:szCs w:val="32"/>
          <w:shd w:val="clear" w:fill="FFFFFF"/>
          <w:lang w:val="en-US" w:eastAsia="zh-CN" w:bidi="ar"/>
        </w:rPr>
        <w:t>本部门2018年度机关运行经费支出931.60万元，较上年（减少）9.16万元，下降0.97%，主要原因是：年底行政经费不足，用自有资金弥补。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益阳市粮食局2018年度无政府采购，所以，其中，政府采购货物支出0万元，政府采购工程支出0万元，政府采购服务支出0万元。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（四）国有资产占用情况。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i w:val="0"/>
          <w:caps w:val="0"/>
          <w:color w:val="062D3C"/>
          <w:spacing w:val="0"/>
          <w:kern w:val="0"/>
          <w:sz w:val="32"/>
          <w:szCs w:val="32"/>
          <w:shd w:val="clear" w:fill="FFFFFF"/>
          <w:lang w:val="en-US" w:eastAsia="zh-CN" w:bidi="ar"/>
        </w:rPr>
        <w:t>   截至2018年12月31日，本部门共有车辆2'辆，其中，机要通信车辆1辆，离退休干部用车1辆；单位价值50万元以上通用设备0台(套)，单价100万正以上专用设备0台(套）。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062D3C"/>
          <w:spacing w:val="0"/>
          <w:sz w:val="24"/>
          <w:szCs w:val="24"/>
        </w:rPr>
      </w:pPr>
      <w:r>
        <w:rPr>
          <w:rFonts w:hint="eastAsia" w:ascii="楷体" w:hAnsi="楷体" w:eastAsia="楷体" w:cs="楷体"/>
          <w:i w:val="0"/>
          <w:caps w:val="0"/>
          <w:color w:val="062D3C"/>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hint="eastAsia" w:ascii="微软雅黑" w:hAnsi="微软雅黑" w:eastAsia="微软雅黑" w:cs="微软雅黑"/>
          <w:i w:val="0"/>
          <w:caps w:val="0"/>
          <w:color w:val="062D3C"/>
          <w:spacing w:val="0"/>
          <w:sz w:val="24"/>
          <w:szCs w:val="24"/>
        </w:rPr>
      </w:pPr>
      <w:r>
        <w:rPr>
          <w:rFonts w:hint="eastAsia" w:ascii="宋体" w:hAnsi="宋体" w:eastAsia="宋体" w:cs="宋体"/>
          <w:i w:val="0"/>
          <w:caps w:val="0"/>
          <w:color w:val="062D3C"/>
          <w:spacing w:val="0"/>
          <w:kern w:val="0"/>
          <w:sz w:val="44"/>
          <w:szCs w:val="44"/>
          <w:shd w:val="clear" w:fill="FFFFFF"/>
          <w:lang w:val="en-US" w:eastAsia="zh-CN" w:bidi="ar"/>
        </w:rPr>
        <w:t>第四部分</w:t>
      </w:r>
      <w:r>
        <w:rPr>
          <w:rFonts w:hint="default" w:ascii="方正小标宋_GBK" w:hAnsi="方正小标宋_GBK" w:eastAsia="方正小标宋_GBK" w:cs="方正小标宋_GBK"/>
          <w:i w:val="0"/>
          <w:caps w:val="0"/>
          <w:color w:val="062D3C"/>
          <w:spacing w:val="0"/>
          <w:kern w:val="0"/>
          <w:sz w:val="44"/>
          <w:szCs w:val="44"/>
          <w:shd w:val="clear" w:fill="FFFFFF"/>
          <w:lang w:val="en-US" w:eastAsia="zh-CN" w:bidi="ar"/>
        </w:rPr>
        <w:t> </w:t>
      </w:r>
      <w:r>
        <w:rPr>
          <w:rFonts w:hint="eastAsia" w:ascii="宋体" w:hAnsi="宋体" w:eastAsia="宋体" w:cs="宋体"/>
          <w:i w:val="0"/>
          <w:caps w:val="0"/>
          <w:color w:val="062D3C"/>
          <w:spacing w:val="0"/>
          <w:kern w:val="0"/>
          <w:sz w:val="44"/>
          <w:szCs w:val="44"/>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一、财政拨款收入：</w:t>
      </w:r>
      <w:r>
        <w:rPr>
          <w:rFonts w:hint="eastAsia" w:ascii="仿宋" w:hAnsi="仿宋" w:eastAsia="仿宋" w:cs="仿宋"/>
          <w:i w:val="0"/>
          <w:caps w:val="0"/>
          <w:color w:val="062D3C"/>
          <w:spacing w:val="0"/>
          <w:kern w:val="0"/>
          <w:sz w:val="32"/>
          <w:szCs w:val="32"/>
          <w:shd w:val="clear" w:fill="FFFFFF"/>
          <w:lang w:val="en-US" w:eastAsia="zh-CN" w:bidi="ar"/>
        </w:rPr>
        <w:t>指中央财政当年拨付的资金。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二、事业收入：</w:t>
      </w:r>
      <w:r>
        <w:rPr>
          <w:rFonts w:hint="eastAsia" w:ascii="仿宋" w:hAnsi="仿宋" w:eastAsia="仿宋" w:cs="仿宋"/>
          <w:i w:val="0"/>
          <w:caps w:val="0"/>
          <w:color w:val="062D3C"/>
          <w:spacing w:val="0"/>
          <w:kern w:val="0"/>
          <w:sz w:val="32"/>
          <w:szCs w:val="32"/>
          <w:shd w:val="clear" w:fill="FFFFFF"/>
          <w:lang w:val="en-US" w:eastAsia="zh-CN" w:bidi="ar"/>
        </w:rPr>
        <w:t>指事业单位开展专业业务活动及辅助活动所取得的收入。如：中国财政杂志社的刊物发行收入，中国注册会计师协会、中国资产评估协会、中国国债协会、中国会计学会收取的会费收入等。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三、经营收入：</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指事业单位在专业业务活动及其辅助活动之外开展非独立核算经营活动取得的收入。如：中国财政杂志社广告收入等。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四、其他收入：</w:t>
      </w:r>
      <w:r>
        <w:rPr>
          <w:rFonts w:hint="eastAsia" w:ascii="仿宋" w:hAnsi="仿宋" w:eastAsia="仿宋" w:cs="仿宋"/>
          <w:i w:val="0"/>
          <w:caps w:val="0"/>
          <w:color w:val="062D3C"/>
          <w:spacing w:val="0"/>
          <w:kern w:val="0"/>
          <w:sz w:val="32"/>
          <w:szCs w:val="32"/>
          <w:shd w:val="clear" w:fill="FFFFFF"/>
          <w:lang w:val="en-US" w:eastAsia="zh-CN" w:bidi="ar"/>
        </w:rPr>
        <w:t>指除上述“财政拨款收入”、“事业收入”、“经营收入”等以外的收入。主要是按规定动用的售房收入、存款利息收入等。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五、用事业基金弥补收支差额：</w:t>
      </w:r>
      <w:r>
        <w:rPr>
          <w:rFonts w:hint="eastAsia" w:ascii="仿宋" w:hAnsi="仿宋" w:eastAsia="仿宋" w:cs="仿宋"/>
          <w:i w:val="0"/>
          <w:caps w:val="0"/>
          <w:color w:val="062D3C"/>
          <w:spacing w:val="0"/>
          <w:kern w:val="0"/>
          <w:sz w:val="32"/>
          <w:szCs w:val="32"/>
          <w:shd w:val="clear" w:fill="FFFFFF"/>
          <w:lang w:val="en-US" w:eastAsia="zh-CN" w:bidi="ar"/>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六、年初结转和结余：</w:t>
      </w:r>
      <w:r>
        <w:rPr>
          <w:rFonts w:hint="eastAsia" w:ascii="仿宋" w:hAnsi="仿宋" w:eastAsia="仿宋" w:cs="仿宋"/>
          <w:i w:val="0"/>
          <w:caps w:val="0"/>
          <w:color w:val="062D3C"/>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七、结余分配：</w:t>
      </w:r>
      <w:r>
        <w:rPr>
          <w:rFonts w:hint="eastAsia" w:ascii="仿宋" w:hAnsi="仿宋" w:eastAsia="仿宋" w:cs="仿宋"/>
          <w:i w:val="0"/>
          <w:caps w:val="0"/>
          <w:color w:val="062D3C"/>
          <w:spacing w:val="0"/>
          <w:kern w:val="0"/>
          <w:sz w:val="32"/>
          <w:szCs w:val="32"/>
          <w:shd w:val="clear" w:fill="FFFFFF"/>
          <w:lang w:val="en-US" w:eastAsia="zh-CN" w:bidi="ar"/>
        </w:rPr>
        <w:t>指事业单位按规定提取的职工福利基金、事业基金和缴纳的所得税，以及建设单位按规定应交回的基本建设竣工项目结余资金。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八、年末结转和结余：</w:t>
      </w:r>
      <w:r>
        <w:rPr>
          <w:rFonts w:hint="eastAsia" w:ascii="仿宋" w:hAnsi="仿宋" w:eastAsia="仿宋" w:cs="仿宋"/>
          <w:i w:val="0"/>
          <w:caps w:val="0"/>
          <w:color w:val="062D3C"/>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九、基本支出：</w:t>
      </w:r>
      <w:r>
        <w:rPr>
          <w:rFonts w:hint="eastAsia" w:ascii="仿宋" w:hAnsi="仿宋" w:eastAsia="仿宋" w:cs="仿宋"/>
          <w:i w:val="0"/>
          <w:caps w:val="0"/>
          <w:color w:val="062D3C"/>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十、项目支出：</w:t>
      </w:r>
      <w:r>
        <w:rPr>
          <w:rFonts w:hint="eastAsia" w:ascii="仿宋" w:hAnsi="仿宋" w:eastAsia="仿宋" w:cs="仿宋"/>
          <w:i w:val="0"/>
          <w:caps w:val="0"/>
          <w:color w:val="062D3C"/>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十一、经营支出：</w:t>
      </w:r>
      <w:r>
        <w:rPr>
          <w:rFonts w:hint="eastAsia" w:ascii="仿宋" w:hAnsi="仿宋" w:eastAsia="仿宋" w:cs="仿宋"/>
          <w:i w:val="0"/>
          <w:caps w:val="0"/>
          <w:color w:val="062D3C"/>
          <w:spacing w:val="0"/>
          <w:kern w:val="0"/>
          <w:sz w:val="32"/>
          <w:szCs w:val="32"/>
          <w:shd w:val="clear" w:fill="FFFFFF"/>
          <w:lang w:val="en-US" w:eastAsia="zh-CN" w:bidi="ar"/>
        </w:rPr>
        <w:t>指事业单位在专业业务活动及其辅助活动之外开展非独立核算经营活动发生的支出。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十二、“三公”经费：</w:t>
      </w:r>
      <w:r>
        <w:rPr>
          <w:rFonts w:hint="eastAsia" w:ascii="仿宋" w:hAnsi="仿宋" w:eastAsia="仿宋" w:cs="仿宋"/>
          <w:i w:val="0"/>
          <w:caps w:val="0"/>
          <w:color w:val="062D3C"/>
          <w:spacing w:val="0"/>
          <w:kern w:val="0"/>
          <w:sz w:val="32"/>
          <w:szCs w:val="32"/>
          <w:shd w:val="clear" w:fill="FFFFFF"/>
          <w:lang w:val="en-US" w:eastAsia="zh-CN" w:bidi="ar"/>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eastAsia" w:ascii="微软雅黑" w:hAnsi="微软雅黑" w:eastAsia="微软雅黑" w:cs="微软雅黑"/>
          <w:i w:val="0"/>
          <w:caps w:val="0"/>
          <w:color w:val="062D3C"/>
          <w:spacing w:val="0"/>
          <w:sz w:val="24"/>
          <w:szCs w:val="24"/>
        </w:rPr>
      </w:pPr>
      <w:r>
        <w:rPr>
          <w:rFonts w:hint="eastAsia" w:ascii="仿宋" w:hAnsi="仿宋" w:eastAsia="仿宋" w:cs="仿宋"/>
          <w:b/>
          <w:i w:val="0"/>
          <w:caps w:val="0"/>
          <w:color w:val="062D3C"/>
          <w:spacing w:val="0"/>
          <w:kern w:val="0"/>
          <w:sz w:val="32"/>
          <w:szCs w:val="32"/>
          <w:shd w:val="clear" w:fill="FFFFFF"/>
          <w:lang w:val="en-US" w:eastAsia="zh-CN" w:bidi="ar"/>
        </w:rPr>
        <w:t>十三、机关运行经费：</w:t>
      </w:r>
      <w:r>
        <w:rPr>
          <w:rFonts w:hint="eastAsia" w:ascii="仿宋" w:hAnsi="仿宋" w:eastAsia="仿宋" w:cs="仿宋"/>
          <w:i w:val="0"/>
          <w:caps w:val="0"/>
          <w:color w:val="062D3C"/>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A5D83"/>
    <w:rsid w:val="65AB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2021-05-24T12:46:00Z</dcterms:created>
  <dc:creator>朱朱</dc:creator>
  <cp:lastModifiedBy>Administrator</cp:lastModifiedBy>
  <dcterms:modified xsi:type="dcterms:W3CDTF">2021-06-04T08:05:34Z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