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ascii="方正小标宋_GBK" w:hAnsi="方正小标宋_GBK" w:eastAsia="方正小标宋_GBK" w:cs="方正小标宋_GBK"/>
          <w:sz w:val="52"/>
          <w:szCs w:val="52"/>
          <w:lang w:eastAsia="zh-CN"/>
        </w:rPr>
      </w:pPr>
    </w:p>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ascii="方正小标宋_GBK" w:hAnsi="方正小标宋_GBK" w:eastAsia="方正小标宋_GBK" w:cs="方正小标宋_GBK"/>
          <w:sz w:val="52"/>
          <w:szCs w:val="52"/>
          <w:lang w:eastAsia="zh-CN"/>
        </w:rPr>
      </w:pPr>
    </w:p>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ascii="方正小标宋_GBK" w:hAnsi="方正小标宋_GBK" w:eastAsia="方正小标宋_GBK" w:cs="方正小标宋_GBK"/>
          <w:sz w:val="52"/>
          <w:szCs w:val="52"/>
          <w:lang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sz w:val="52"/>
          <w:szCs w:val="52"/>
          <w:lang w:eastAsia="zh-CN"/>
        </w:rPr>
      </w:pPr>
    </w:p>
    <w:p>
      <w:pPr>
        <w:keepNext w:val="0"/>
        <w:keepLines w:val="0"/>
        <w:pageBreakBefore w:val="0"/>
        <w:widowControl w:val="0"/>
        <w:kinsoku/>
        <w:wordWrap/>
        <w:overflowPunct/>
        <w:topLinePunct w:val="0"/>
        <w:autoSpaceDE/>
        <w:autoSpaceDN/>
        <w:bidi w:val="0"/>
        <w:adjustRightInd/>
        <w:snapToGrid/>
        <w:spacing w:line="840" w:lineRule="exact"/>
        <w:jc w:val="center"/>
        <w:textAlignment w:val="auto"/>
        <w:rPr>
          <w:rFonts w:hint="eastAsia" w:ascii="方正小标宋_GBK" w:hAnsi="方正小标宋_GBK" w:eastAsia="方正小标宋_GBK" w:cs="方正小标宋_GBK"/>
          <w:sz w:val="72"/>
          <w:szCs w:val="72"/>
          <w:lang w:eastAsia="zh-CN"/>
        </w:rPr>
      </w:pPr>
      <w:r>
        <w:rPr>
          <w:rFonts w:hint="eastAsia" w:ascii="方正小标宋_GBK" w:hAnsi="方正小标宋_GBK" w:eastAsia="方正小标宋_GBK" w:cs="方正小标宋_GBK"/>
          <w:b w:val="0"/>
          <w:bCs w:val="0"/>
          <w:sz w:val="72"/>
          <w:szCs w:val="72"/>
          <w:lang w:val="en-US" w:eastAsia="zh-CN"/>
        </w:rPr>
        <w:t>2019年度</w:t>
      </w:r>
    </w:p>
    <w:p>
      <w:pPr>
        <w:keepNext w:val="0"/>
        <w:keepLines w:val="0"/>
        <w:pageBreakBefore w:val="0"/>
        <w:widowControl w:val="0"/>
        <w:kinsoku/>
        <w:wordWrap/>
        <w:overflowPunct/>
        <w:topLinePunct w:val="0"/>
        <w:autoSpaceDE/>
        <w:autoSpaceDN/>
        <w:bidi w:val="0"/>
        <w:adjustRightInd/>
        <w:snapToGrid/>
        <w:spacing w:line="840" w:lineRule="exact"/>
        <w:jc w:val="center"/>
        <w:textAlignment w:val="auto"/>
        <w:rPr>
          <w:rFonts w:hint="eastAsia" w:ascii="宋体" w:hAnsi="宋体" w:eastAsia="宋体" w:cs="宋体"/>
          <w:sz w:val="72"/>
          <w:szCs w:val="72"/>
          <w:lang w:val="en-US" w:eastAsia="zh-CN"/>
        </w:rPr>
      </w:pPr>
      <w:r>
        <w:rPr>
          <w:rFonts w:hint="eastAsia" w:ascii="方正小标宋_GBK" w:hAnsi="方正小标宋_GBK" w:eastAsia="方正小标宋_GBK" w:cs="方正小标宋_GBK"/>
          <w:sz w:val="72"/>
          <w:szCs w:val="72"/>
          <w:lang w:eastAsia="zh-CN"/>
        </w:rPr>
        <w:t>益阳市应急管理局</w:t>
      </w:r>
    </w:p>
    <w:p>
      <w:pPr>
        <w:keepNext w:val="0"/>
        <w:keepLines w:val="0"/>
        <w:pageBreakBefore w:val="0"/>
        <w:widowControl w:val="0"/>
        <w:kinsoku/>
        <w:wordWrap/>
        <w:overflowPunct/>
        <w:topLinePunct w:val="0"/>
        <w:autoSpaceDE/>
        <w:autoSpaceDN/>
        <w:bidi w:val="0"/>
        <w:adjustRightInd/>
        <w:snapToGrid/>
        <w:spacing w:line="840" w:lineRule="exact"/>
        <w:jc w:val="center"/>
        <w:textAlignment w:val="auto"/>
        <w:outlineLvl w:val="9"/>
        <w:rPr>
          <w:rFonts w:hint="eastAsia" w:ascii="方正小标宋_GBK" w:hAnsi="方正小标宋_GBK" w:eastAsia="方正小标宋_GBK" w:cs="方正小标宋_GBK"/>
          <w:sz w:val="72"/>
          <w:szCs w:val="72"/>
          <w:lang w:val="en-US" w:eastAsia="zh-CN"/>
        </w:rPr>
      </w:pPr>
      <w:r>
        <w:rPr>
          <w:rFonts w:hint="eastAsia" w:ascii="方正小标宋_GBK" w:hAnsi="方正小标宋_GBK" w:eastAsia="方正小标宋_GBK" w:cs="方正小标宋_GBK"/>
          <w:b w:val="0"/>
          <w:bCs w:val="0"/>
          <w:sz w:val="72"/>
          <w:szCs w:val="72"/>
          <w:lang w:val="en-US" w:eastAsia="zh-CN"/>
        </w:rPr>
        <w:t>部门决算</w:t>
      </w:r>
    </w:p>
    <w:p>
      <w:pPr>
        <w:jc w:val="center"/>
        <w:rPr>
          <w:rFonts w:hint="eastAsia" w:ascii="宋体" w:hAnsi="宋体" w:eastAsia="宋体" w:cs="宋体"/>
          <w:sz w:val="44"/>
          <w:lang w:val="en-US" w:eastAsia="zh-CN"/>
        </w:rPr>
      </w:pPr>
    </w:p>
    <w:p>
      <w:pPr>
        <w:jc w:val="center"/>
        <w:rPr>
          <w:rFonts w:hint="eastAsia" w:ascii="宋体" w:hAnsi="宋体" w:eastAsia="宋体" w:cs="宋体"/>
          <w:sz w:val="44"/>
          <w:lang w:val="en-US" w:eastAsia="zh-CN"/>
        </w:rPr>
      </w:pPr>
    </w:p>
    <w:p>
      <w:pPr>
        <w:jc w:val="center"/>
        <w:rPr>
          <w:rFonts w:hint="eastAsia" w:ascii="宋体" w:hAnsi="宋体" w:eastAsia="宋体" w:cs="宋体"/>
          <w:sz w:val="44"/>
          <w:lang w:val="en-US" w:eastAsia="zh-CN"/>
        </w:rPr>
      </w:pPr>
    </w:p>
    <w:p>
      <w:pPr>
        <w:jc w:val="center"/>
        <w:rPr>
          <w:rFonts w:hint="eastAsia" w:ascii="宋体" w:hAnsi="宋体" w:eastAsia="宋体" w:cs="宋体"/>
          <w:sz w:val="44"/>
          <w:lang w:val="en-US" w:eastAsia="zh-CN"/>
        </w:rPr>
      </w:pPr>
    </w:p>
    <w:p>
      <w:pPr>
        <w:jc w:val="center"/>
        <w:rPr>
          <w:rFonts w:hint="eastAsia" w:ascii="宋体" w:hAnsi="宋体" w:eastAsia="宋体" w:cs="宋体"/>
          <w:sz w:val="44"/>
          <w:lang w:val="en-US" w:eastAsia="zh-CN"/>
        </w:rPr>
      </w:pPr>
    </w:p>
    <w:p>
      <w:pPr>
        <w:jc w:val="both"/>
        <w:rPr>
          <w:rFonts w:hint="eastAsia" w:ascii="宋体" w:hAnsi="宋体" w:eastAsia="宋体" w:cs="宋体"/>
          <w:sz w:val="44"/>
          <w:lang w:val="en-US" w:eastAsia="zh-CN"/>
        </w:rPr>
      </w:pPr>
    </w:p>
    <w:p>
      <w:pPr>
        <w:jc w:val="both"/>
        <w:rPr>
          <w:rFonts w:hint="eastAsia" w:ascii="宋体" w:hAnsi="宋体" w:eastAsia="宋体" w:cs="宋体"/>
          <w:sz w:val="44"/>
          <w:lang w:val="en-US" w:eastAsia="zh-CN"/>
        </w:rPr>
      </w:pPr>
    </w:p>
    <w:p>
      <w:pPr>
        <w:jc w:val="center"/>
        <w:rPr>
          <w:rFonts w:hint="eastAsia" w:ascii="宋体" w:hAnsi="宋体" w:eastAsia="宋体" w:cs="宋体"/>
          <w:sz w:val="44"/>
          <w:lang w:val="en-US" w:eastAsia="zh-CN"/>
        </w:rPr>
      </w:pPr>
    </w:p>
    <w:p>
      <w:pPr>
        <w:jc w:val="center"/>
        <w:rPr>
          <w:rFonts w:hint="eastAsia" w:ascii="楷体_GB2312" w:hAnsi="楷体_GB2312" w:eastAsia="楷体_GB2312" w:cs="楷体_GB2312"/>
          <w:sz w:val="44"/>
          <w:szCs w:val="44"/>
          <w:lang w:val="en-US" w:eastAsia="zh-CN"/>
        </w:rPr>
      </w:pPr>
    </w:p>
    <w:p>
      <w:pPr>
        <w:jc w:val="center"/>
        <w:rPr>
          <w:rFonts w:ascii="宋体" w:hAnsi="宋体" w:eastAsia="宋体" w:cs="宋体"/>
          <w:sz w:val="44"/>
        </w:rPr>
      </w:pPr>
      <w:r>
        <w:rPr>
          <w:rFonts w:hint="eastAsia" w:ascii="楷体_GB2312" w:hAnsi="楷体_GB2312" w:eastAsia="楷体_GB2312" w:cs="楷体_GB2312"/>
          <w:sz w:val="44"/>
          <w:szCs w:val="44"/>
          <w:lang w:val="en-US" w:eastAsia="zh-CN"/>
        </w:rPr>
        <w:t>2020年9月25日</w:t>
      </w:r>
    </w:p>
    <w:p>
      <w:pPr>
        <w:jc w:val="both"/>
        <w:rPr>
          <w:rFonts w:ascii="宋体" w:hAnsi="宋体" w:eastAsia="宋体" w:cs="宋体"/>
          <w:sz w:val="44"/>
        </w:rPr>
      </w:pPr>
    </w:p>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lang w:eastAsia="zh-CN"/>
        </w:rPr>
        <w:t>益阳市应急管理局</w:t>
      </w:r>
      <w:r>
        <w:rPr>
          <w:rFonts w:ascii="黑体" w:hAnsi="黑体" w:eastAsia="黑体" w:cs="黑体"/>
          <w:sz w:val="32"/>
        </w:rPr>
        <w:t xml:space="preserve">概况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二、机构设置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三、部门决算单位构成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lang w:eastAsia="zh-CN"/>
        </w:rPr>
        <w:t>益阳市应急管理局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 xml:space="preserve">一、收入支出决算总表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 xml:space="preserve">二、收入决算表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 xml:space="preserve">三、支出决算表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 xml:space="preserve">四、财政拨款收入支出决算总表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 xml:space="preserve">五、一般公共预算财政拨款支出决算表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 xml:space="preserve">六、一般公共预算财政拨款基本支出决算表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 xml:space="preserve">七、一般公共预算财政拨款“三公”经费支出决算表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cs="楷体"/>
          <w:sz w:val="32"/>
        </w:rPr>
      </w:pPr>
      <w:r>
        <w:rPr>
          <w:rFonts w:ascii="楷体" w:hAnsi="楷体" w:eastAsia="楷体" w:cs="楷体"/>
          <w:sz w:val="32"/>
        </w:rPr>
        <w:t xml:space="preserve">八、政府性基金预算财政拨款收入支出决算表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lang w:eastAsia="zh-CN"/>
        </w:rPr>
        <w:t>益阳市应急管理局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sz w:val="32"/>
        </w:rPr>
      </w:pPr>
      <w:r>
        <w:rPr>
          <w:rFonts w:hint="eastAsia" w:ascii="楷体" w:hAnsi="楷体" w:eastAsia="楷体" w:cs="楷体"/>
          <w:sz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sz w:val="32"/>
        </w:rPr>
      </w:pPr>
      <w:r>
        <w:rPr>
          <w:rFonts w:hint="eastAsia" w:ascii="楷体" w:hAnsi="楷体" w:eastAsia="楷体" w:cs="楷体"/>
          <w:sz w:val="32"/>
        </w:rPr>
        <w:t>二、收入决算情况说明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sz w:val="32"/>
        </w:rPr>
      </w:pPr>
      <w:r>
        <w:rPr>
          <w:rFonts w:hint="eastAsia" w:ascii="楷体" w:hAnsi="楷体" w:eastAsia="楷体" w:cs="楷体"/>
          <w:sz w:val="32"/>
        </w:rPr>
        <w:t>三、支出决算情况说明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sz w:val="32"/>
        </w:rPr>
      </w:pPr>
      <w:r>
        <w:rPr>
          <w:rFonts w:hint="eastAsia" w:ascii="楷体" w:hAnsi="楷体" w:eastAsia="楷体" w:cs="楷体"/>
          <w:sz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sz w:val="32"/>
        </w:rPr>
      </w:pPr>
      <w:r>
        <w:rPr>
          <w:rFonts w:hint="eastAsia" w:ascii="楷体" w:hAnsi="楷体" w:eastAsia="楷体" w:cs="楷体"/>
          <w:sz w:val="32"/>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sz w:val="32"/>
        </w:rPr>
      </w:pPr>
      <w:r>
        <w:rPr>
          <w:rFonts w:hint="eastAsia" w:ascii="楷体" w:hAnsi="楷体" w:eastAsia="楷体" w:cs="楷体"/>
          <w:sz w:val="32"/>
        </w:rPr>
        <w:t>八、一般公共预算财政拨款“三公”经费支出决算情况说明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楷体" w:hAnsi="楷体" w:eastAsia="楷体" w:cs="楷体"/>
          <w:sz w:val="32"/>
        </w:rPr>
      </w:pPr>
      <w:r>
        <w:rPr>
          <w:rFonts w:hint="eastAsia" w:ascii="楷体" w:hAnsi="楷体" w:eastAsia="楷体" w:cs="楷体"/>
          <w:sz w:val="32"/>
        </w:rPr>
        <w:t>九、预算绩效情况说明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cs="黑体"/>
          <w:sz w:val="32"/>
        </w:rPr>
      </w:pPr>
      <w:r>
        <w:rPr>
          <w:rFonts w:hint="eastAsia" w:ascii="楷体" w:hAnsi="楷体" w:eastAsia="楷体" w:cs="楷体"/>
          <w:sz w:val="32"/>
        </w:rPr>
        <w:t xml:space="preserve">十、其他重要事项情况说明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sz w:val="32"/>
        </w:rPr>
      </w:pPr>
      <w:r>
        <w:rPr>
          <w:rFonts w:ascii="黑体" w:hAnsi="黑体" w:eastAsia="黑体" w:cs="黑体"/>
          <w:sz w:val="32"/>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lang w:eastAsia="zh-CN"/>
        </w:rPr>
      </w:pPr>
      <w:r>
        <w:rPr>
          <w:rFonts w:ascii="黑体" w:hAnsi="黑体" w:eastAsia="黑体" w:cs="黑体"/>
          <w:sz w:val="32"/>
        </w:rPr>
        <w:t>第</w:t>
      </w:r>
      <w:r>
        <w:rPr>
          <w:rFonts w:hint="eastAsia" w:ascii="黑体" w:hAnsi="黑体" w:eastAsia="黑体" w:cs="黑体"/>
          <w:sz w:val="32"/>
          <w:lang w:eastAsia="zh-CN"/>
        </w:rPr>
        <w:t>五</w:t>
      </w:r>
      <w:r>
        <w:rPr>
          <w:rFonts w:ascii="黑体" w:hAnsi="黑体" w:eastAsia="黑体" w:cs="黑体"/>
          <w:sz w:val="32"/>
        </w:rPr>
        <w:t xml:space="preserve">部分 </w:t>
      </w:r>
      <w:r>
        <w:rPr>
          <w:rFonts w:hint="eastAsia" w:ascii="黑体" w:hAnsi="黑体" w:eastAsia="黑体" w:cs="黑体"/>
          <w:sz w:val="32"/>
          <w:lang w:eastAsia="zh-CN"/>
        </w:rPr>
        <w:t>附件</w:t>
      </w:r>
    </w:p>
    <w:p>
      <w:pPr>
        <w:rPr>
          <w:rFonts w:ascii="黑体" w:hAnsi="黑体" w:eastAsia="黑体" w:cs="黑体"/>
          <w:sz w:val="32"/>
        </w:rPr>
      </w:pPr>
    </w:p>
    <w:p>
      <w:pPr>
        <w:rPr>
          <w:rFonts w:ascii="黑体" w:hAnsi="黑体" w:eastAsia="黑体" w:cs="黑体"/>
          <w:sz w:val="32"/>
        </w:rPr>
      </w:pPr>
    </w:p>
    <w:p>
      <w:pPr>
        <w:rPr>
          <w:rFonts w:ascii="黑体" w:hAnsi="黑体" w:eastAsia="黑体" w:cs="黑体"/>
          <w:sz w:val="32"/>
        </w:rPr>
      </w:pPr>
    </w:p>
    <w:p>
      <w:pPr>
        <w:rPr>
          <w:rFonts w:ascii="黑体" w:hAnsi="黑体" w:eastAsia="黑体" w:cs="黑体"/>
          <w:sz w:val="32"/>
        </w:rPr>
      </w:pPr>
    </w:p>
    <w:p>
      <w:pPr>
        <w:rPr>
          <w:rFonts w:ascii="黑体" w:hAnsi="黑体" w:eastAsia="黑体" w:cs="黑体"/>
          <w:sz w:val="32"/>
        </w:rPr>
      </w:pPr>
    </w:p>
    <w:p>
      <w:pPr>
        <w:rPr>
          <w:rFonts w:ascii="黑体" w:hAnsi="黑体" w:eastAsia="黑体" w:cs="黑体"/>
          <w:sz w:val="32"/>
        </w:rPr>
      </w:pPr>
    </w:p>
    <w:p>
      <w:pPr>
        <w:rPr>
          <w:rFonts w:ascii="黑体" w:hAnsi="黑体" w:eastAsia="黑体" w:cs="黑体"/>
          <w:sz w:val="32"/>
        </w:rPr>
      </w:pPr>
    </w:p>
    <w:p>
      <w:pPr>
        <w:rPr>
          <w:rFonts w:ascii="黑体" w:hAnsi="黑体" w:eastAsia="黑体" w:cs="黑体"/>
          <w:sz w:val="32"/>
        </w:rPr>
      </w:pPr>
    </w:p>
    <w:p>
      <w:pPr>
        <w:rPr>
          <w:rFonts w:ascii="黑体" w:hAnsi="黑体" w:eastAsia="黑体" w:cs="黑体"/>
          <w:sz w:val="32"/>
        </w:rPr>
      </w:pPr>
    </w:p>
    <w:p>
      <w:pPr>
        <w:rPr>
          <w:rFonts w:ascii="黑体" w:hAnsi="黑体" w:eastAsia="黑体" w:cs="黑体"/>
          <w:sz w:val="32"/>
        </w:rPr>
      </w:pPr>
    </w:p>
    <w:p>
      <w:pPr>
        <w:rPr>
          <w:rFonts w:ascii="黑体" w:hAnsi="黑体" w:eastAsia="黑体" w:cs="黑体"/>
          <w:sz w:val="32"/>
        </w:rPr>
      </w:pPr>
    </w:p>
    <w:p>
      <w:pPr>
        <w:rPr>
          <w:rFonts w:ascii="黑体" w:hAnsi="黑体" w:eastAsia="黑体" w:cs="黑体"/>
          <w:sz w:val="32"/>
        </w:rPr>
      </w:pPr>
    </w:p>
    <w:p>
      <w:pPr>
        <w:rPr>
          <w:rFonts w:ascii="黑体" w:hAnsi="黑体" w:eastAsia="黑体" w:cs="黑体"/>
          <w:sz w:val="32"/>
        </w:rPr>
      </w:pPr>
    </w:p>
    <w:p>
      <w:pPr>
        <w:rPr>
          <w:rFonts w:ascii="黑体" w:hAnsi="黑体" w:eastAsia="黑体" w:cs="黑体"/>
          <w:sz w:val="32"/>
        </w:rPr>
      </w:pPr>
    </w:p>
    <w:p>
      <w:pPr>
        <w:jc w:val="center"/>
        <w:rPr>
          <w:rFonts w:ascii="宋体" w:hAnsi="宋体" w:eastAsia="宋体" w:cs="宋体"/>
          <w:sz w:val="44"/>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 xml:space="preserve">第一部分 </w:t>
      </w:r>
      <w:r>
        <w:rPr>
          <w:rFonts w:hint="eastAsia" w:asciiTheme="majorEastAsia" w:hAnsiTheme="majorEastAsia" w:eastAsiaTheme="majorEastAsia" w:cstheme="majorEastAsia"/>
          <w:sz w:val="44"/>
          <w:szCs w:val="44"/>
          <w:lang w:eastAsia="zh-CN"/>
        </w:rPr>
        <w:t>益阳市应急管理局</w:t>
      </w:r>
      <w:r>
        <w:rPr>
          <w:rFonts w:hint="eastAsia" w:asciiTheme="majorEastAsia" w:hAnsiTheme="majorEastAsia" w:eastAsiaTheme="majorEastAsia" w:cstheme="majorEastAsia"/>
          <w:sz w:val="44"/>
          <w:szCs w:val="44"/>
        </w:rPr>
        <w:t>概况</w:t>
      </w:r>
    </w:p>
    <w:p>
      <w:pPr>
        <w:jc w:val="center"/>
        <w:rPr>
          <w:rFonts w:hint="eastAsia" w:asciiTheme="majorEastAsia" w:hAnsiTheme="majorEastAsia" w:eastAsiaTheme="majorEastAsia" w:cstheme="majorEastAsia"/>
          <w:sz w:val="44"/>
          <w:szCs w:val="44"/>
        </w:rPr>
      </w:pP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1、</w:t>
      </w:r>
      <w:r>
        <w:rPr>
          <w:rFonts w:hint="eastAsia" w:ascii="仿宋_GB2312" w:hAnsi="仿宋" w:eastAsia="仿宋_GB2312"/>
          <w:b w:val="0"/>
          <w:bCs w:val="0"/>
          <w:sz w:val="32"/>
          <w:szCs w:val="32"/>
        </w:rPr>
        <w:t>负责应急管理工作，指导全市应对安全生产类、自然灾害类等突发事件和综合防灾减灾救灾工作。负责安全生产综合监督管理和工矿商贸行业（含煤矿）安全生产监督管理工作。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2、</w:t>
      </w:r>
      <w:r>
        <w:rPr>
          <w:rFonts w:hint="eastAsia" w:ascii="仿宋_GB2312" w:hAnsi="仿宋" w:eastAsia="仿宋_GB2312"/>
          <w:b w:val="0"/>
          <w:bCs w:val="0"/>
          <w:sz w:val="32"/>
          <w:szCs w:val="32"/>
        </w:rPr>
        <w:t>贯彻实施相关法律法规、规章、规程和标准，组织编制全市应急体系建设、安全生产和综合防灾减灾规划，组织拟订相关政策、规程和标准并监督实施。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3、</w:t>
      </w:r>
      <w:r>
        <w:rPr>
          <w:rFonts w:hint="eastAsia" w:ascii="仿宋_GB2312" w:hAnsi="仿宋" w:eastAsia="仿宋_GB2312"/>
          <w:b w:val="0"/>
          <w:bCs w:val="0"/>
          <w:sz w:val="32"/>
          <w:szCs w:val="32"/>
        </w:rPr>
        <w:t>指导应急预案体系建设，建立完善事故灾难和自然灾害分级应对制度，组织编制市总体应急预案和安全生产类、自然灾害类专项预案，综合协调应急预案衔接工作，组织开展预案演练，推动应急避难设施建设。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4、</w:t>
      </w:r>
      <w:r>
        <w:rPr>
          <w:rFonts w:hint="eastAsia" w:ascii="仿宋_GB2312" w:hAnsi="仿宋" w:eastAsia="仿宋_GB2312"/>
          <w:b w:val="0"/>
          <w:bCs w:val="0"/>
          <w:sz w:val="32"/>
          <w:szCs w:val="32"/>
        </w:rPr>
        <w:t>牵头推进全市统一的应急管理信息系统建设，负责信息传输渠道的规划和布局，建立监测预警和灾情报告制度，健全自然灾害信息资源获取和共享机制，依法统一发布灾情。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5、</w:t>
      </w:r>
      <w:r>
        <w:rPr>
          <w:rFonts w:hint="eastAsia" w:ascii="仿宋_GB2312" w:hAnsi="仿宋" w:eastAsia="仿宋_GB2312"/>
          <w:b w:val="0"/>
          <w:bCs w:val="0"/>
          <w:sz w:val="32"/>
          <w:szCs w:val="32"/>
        </w:rPr>
        <w:t>组织指导协调安全生产类、自然灾害类等突发事件应急救援，承担市应对较大灾害指挥部工作，综合研判突发事件发展态势并提出应对建议，协助市委、市政府指定的负责同志组织较大及以上灾害应急处置工作。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6、</w:t>
      </w:r>
      <w:r>
        <w:rPr>
          <w:rFonts w:hint="eastAsia" w:ascii="仿宋_GB2312" w:hAnsi="仿宋" w:eastAsia="仿宋_GB2312"/>
          <w:b w:val="0"/>
          <w:bCs w:val="0"/>
          <w:sz w:val="32"/>
          <w:szCs w:val="32"/>
        </w:rPr>
        <w:t>统一协调指挥各类应急专业队伍，建立应急协调联动机制，推进指挥平台对接，负责做好解放军和武警部队参与应急救援相关衔接工作。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7、</w:t>
      </w:r>
      <w:r>
        <w:rPr>
          <w:rFonts w:hint="eastAsia" w:ascii="仿宋_GB2312" w:hAnsi="仿宋" w:eastAsia="仿宋_GB2312"/>
          <w:b w:val="0"/>
          <w:bCs w:val="0"/>
          <w:sz w:val="32"/>
          <w:szCs w:val="32"/>
        </w:rPr>
        <w:t>统筹全市应急救援力量建设，负责消防、森林火灾扑救、抗洪抢险、地震和地质灾害救援、生产安全事故救援等专业应急救援力量建设，依权限做好驻益国家综合性应急救援队伍建设的相关工作，指导地方及社会应急救援力量建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8、</w:t>
      </w:r>
      <w:r>
        <w:rPr>
          <w:rFonts w:hint="eastAsia" w:ascii="仿宋_GB2312" w:hAnsi="仿宋" w:eastAsia="仿宋_GB2312"/>
          <w:b w:val="0"/>
          <w:bCs w:val="0"/>
          <w:sz w:val="32"/>
          <w:szCs w:val="32"/>
        </w:rPr>
        <w:t>负责全市消防管理有关工作，指导地方消防监督、 火灾预防、火灾扑救等工作。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9、</w:t>
      </w:r>
      <w:r>
        <w:rPr>
          <w:rFonts w:hint="eastAsia" w:ascii="仿宋_GB2312" w:hAnsi="仿宋" w:eastAsia="仿宋_GB2312"/>
          <w:b w:val="0"/>
          <w:bCs w:val="0"/>
          <w:sz w:val="32"/>
          <w:szCs w:val="32"/>
        </w:rPr>
        <w:t>指导协调全市森林火灾、水旱灾害、地震和地质灾害等防治工作，负责自然灾害综合监测预警工作，指导开展自然灾害综合风险评估工作。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10、</w:t>
      </w:r>
      <w:r>
        <w:rPr>
          <w:rFonts w:hint="eastAsia" w:ascii="仿宋_GB2312" w:hAnsi="仿宋" w:eastAsia="仿宋_GB2312"/>
          <w:b w:val="0"/>
          <w:bCs w:val="0"/>
          <w:sz w:val="32"/>
          <w:szCs w:val="32"/>
        </w:rPr>
        <w:t>组织协调灾害救助工作，组织指导灾情核查、损失评估、救灾捐赠工作，按权限管理、分配中央、省下达和市级救灾款物并监督使用。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11、</w:t>
      </w:r>
      <w:r>
        <w:rPr>
          <w:rFonts w:hint="eastAsia" w:ascii="仿宋_GB2312" w:hAnsi="仿宋" w:eastAsia="仿宋_GB2312"/>
          <w:b w:val="0"/>
          <w:bCs w:val="0"/>
          <w:sz w:val="32"/>
          <w:szCs w:val="32"/>
        </w:rPr>
        <w:t>依法行使安全生产综合监督管理职权，指导协调、监督检查市政府有关部门和各区县（市）政府（管委会）安全生产工作，组织开展安全生产巡查、考核工作。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12、</w:t>
      </w:r>
      <w:r>
        <w:rPr>
          <w:rFonts w:hint="eastAsia" w:ascii="仿宋_GB2312" w:hAnsi="仿宋" w:eastAsia="仿宋_GB2312"/>
          <w:b w:val="0"/>
          <w:bCs w:val="0"/>
          <w:sz w:val="32"/>
          <w:szCs w:val="32"/>
        </w:rPr>
        <w:t>按照分级、属地原则，依法监督检查工矿商贸生产经营单位贯彻执行安全生产法律法规情况及其安全生产条件和有关设备（特种设备除外）、材料、劳动防护用品的安全生产管理工作。负责监督管理工矿商贸行业市属企业安全生产工作。依法组织并指导监督实施安全生产准入制度。负责危险化学品安全监督管理综合工作和烟花爆竹安全生产监督管理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13、</w:t>
      </w:r>
      <w:r>
        <w:rPr>
          <w:rFonts w:hint="eastAsia" w:ascii="仿宋_GB2312" w:hAnsi="仿宋" w:eastAsia="仿宋_GB2312"/>
          <w:b w:val="0"/>
          <w:bCs w:val="0"/>
          <w:sz w:val="32"/>
          <w:szCs w:val="32"/>
        </w:rPr>
        <w:t>依法组织指导生产安全事故调查处理，监督事故查处和责任追究落实情况。组织开展自然灾害类突发事件的调查评估工作。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14、</w:t>
      </w:r>
      <w:r>
        <w:rPr>
          <w:rFonts w:hint="eastAsia" w:ascii="仿宋_GB2312" w:hAnsi="仿宋" w:eastAsia="仿宋_GB2312"/>
          <w:b w:val="0"/>
          <w:bCs w:val="0"/>
          <w:sz w:val="32"/>
          <w:szCs w:val="32"/>
        </w:rPr>
        <w:t>开展应急管理对外交流与合作，组织参与安全生产类、自然灾害类等突发事件的对外救援工作。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15、</w:t>
      </w:r>
      <w:r>
        <w:rPr>
          <w:rFonts w:hint="eastAsia" w:ascii="仿宋_GB2312" w:hAnsi="仿宋" w:eastAsia="仿宋_GB2312"/>
          <w:b w:val="0"/>
          <w:bCs w:val="0"/>
          <w:sz w:val="32"/>
          <w:szCs w:val="32"/>
        </w:rPr>
        <w:t>制定全市应急物资储备和应急救援装备规划并组织实施，会同市发展和改革委员会等部门建立健全应急物资信息平台和调拨制度，在救灾时统一调度。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lang w:val="en-US" w:eastAsia="zh-CN"/>
        </w:rPr>
        <w:t>16、</w:t>
      </w:r>
      <w:r>
        <w:rPr>
          <w:rFonts w:hint="eastAsia" w:ascii="仿宋_GB2312" w:hAnsi="仿宋" w:eastAsia="仿宋_GB2312"/>
          <w:b w:val="0"/>
          <w:bCs w:val="0"/>
          <w:sz w:val="32"/>
          <w:szCs w:val="32"/>
        </w:rPr>
        <w:t>负责应急管理、安全生产宣传教育和培训工作， 组织指导应急管理、安全生产的科学技术研究、推广应用和信息化建设工作。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b w:val="0"/>
          <w:bCs w:val="0"/>
          <w:sz w:val="32"/>
          <w:szCs w:val="32"/>
          <w:lang w:eastAsia="zh-CN"/>
        </w:rPr>
      </w:pPr>
      <w:r>
        <w:rPr>
          <w:rFonts w:hint="eastAsia" w:ascii="仿宋_GB2312" w:hAnsi="仿宋" w:eastAsia="仿宋_GB2312"/>
          <w:b w:val="0"/>
          <w:bCs w:val="0"/>
          <w:sz w:val="32"/>
          <w:szCs w:val="32"/>
          <w:lang w:val="en-US" w:eastAsia="zh-CN"/>
        </w:rPr>
        <w:t>17、</w:t>
      </w:r>
      <w:r>
        <w:rPr>
          <w:rFonts w:hint="eastAsia" w:ascii="仿宋_GB2312" w:hAnsi="仿宋" w:eastAsia="仿宋_GB2312"/>
          <w:b w:val="0"/>
          <w:bCs w:val="0"/>
          <w:sz w:val="32"/>
          <w:szCs w:val="32"/>
        </w:rPr>
        <w:t>承担市防汛抗旱指挥部日常工作，协调市防汛抗旱指挥部成员单位的相关工作，组织执行国家防汛抗旱总指挥部、相关流域防汛抗旱指挥机构和省、市防汛抗旱指挥部的指示、命令</w:t>
      </w:r>
      <w:r>
        <w:rPr>
          <w:rFonts w:hint="eastAsia" w:ascii="仿宋_GB2312" w:hAnsi="仿宋" w:eastAsia="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仿宋_GB2312" w:cs="黑体"/>
          <w:sz w:val="32"/>
          <w:lang w:eastAsia="zh-CN"/>
        </w:rPr>
      </w:pPr>
      <w:r>
        <w:rPr>
          <w:rFonts w:hint="eastAsia" w:ascii="仿宋_GB2312" w:hAnsi="仿宋" w:eastAsia="仿宋_GB2312"/>
          <w:b w:val="0"/>
          <w:bCs w:val="0"/>
          <w:sz w:val="32"/>
          <w:szCs w:val="32"/>
          <w:lang w:val="en-US" w:eastAsia="zh-CN"/>
        </w:rPr>
        <w:t>19、</w:t>
      </w:r>
      <w:r>
        <w:rPr>
          <w:rFonts w:hint="eastAsia" w:ascii="仿宋_GB2312" w:hAnsi="仿宋" w:eastAsia="仿宋_GB2312"/>
          <w:b w:val="0"/>
          <w:bCs w:val="0"/>
          <w:sz w:val="32"/>
          <w:szCs w:val="32"/>
        </w:rPr>
        <w:t>完成市委、市政府交办的其他任务</w:t>
      </w:r>
      <w:r>
        <w:rPr>
          <w:rFonts w:hint="eastAsia" w:ascii="仿宋_GB2312" w:hAnsi="仿宋" w:eastAsia="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ascii="黑体" w:hAnsi="黑体" w:eastAsia="黑体" w:cs="黑体"/>
          <w:sz w:val="32"/>
        </w:rPr>
      </w:pPr>
      <w:r>
        <w:rPr>
          <w:rFonts w:hint="eastAsia" w:ascii="黑体" w:hAnsi="黑体" w:eastAsia="黑体" w:cs="黑体"/>
          <w:sz w:val="32"/>
          <w:lang w:eastAsia="zh-CN"/>
        </w:rPr>
        <w:t>二、机构设置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 w:eastAsia="仿宋_GB2312"/>
          <w:sz w:val="32"/>
          <w:szCs w:val="32"/>
        </w:rPr>
        <w:t>益阳市应急管理局是</w:t>
      </w:r>
      <w:r>
        <w:rPr>
          <w:rFonts w:hint="eastAsia" w:ascii="仿宋_GB2312" w:hAnsi="仿宋" w:eastAsia="仿宋_GB2312"/>
          <w:sz w:val="32"/>
          <w:szCs w:val="32"/>
          <w:lang w:eastAsia="zh-CN"/>
        </w:rPr>
        <w:t>益阳</w:t>
      </w:r>
      <w:r>
        <w:rPr>
          <w:rFonts w:hint="eastAsia" w:ascii="仿宋_GB2312" w:hAnsi="仿宋" w:eastAsia="仿宋_GB2312"/>
          <w:sz w:val="32"/>
          <w:szCs w:val="32"/>
        </w:rPr>
        <w:t>市政府工作部门，为正处级</w:t>
      </w:r>
      <w:r>
        <w:rPr>
          <w:rFonts w:hint="eastAsia" w:ascii="仿宋_GB2312" w:hAnsi="仿宋" w:eastAsia="仿宋_GB2312"/>
          <w:sz w:val="32"/>
          <w:szCs w:val="32"/>
          <w:lang w:eastAsia="zh-CN"/>
        </w:rPr>
        <w:t>单位</w:t>
      </w:r>
      <w:r>
        <w:rPr>
          <w:rFonts w:hint="eastAsia" w:ascii="仿宋_GB2312" w:hAnsi="仿宋" w:eastAsia="仿宋_GB2312"/>
          <w:sz w:val="32"/>
          <w:szCs w:val="32"/>
        </w:rPr>
        <w:t>，加挂市防汛抗旱指挥部办公室牌子。</w:t>
      </w:r>
      <w:r>
        <w:rPr>
          <w:rFonts w:hint="eastAsia" w:ascii="仿宋_GB2312" w:hAnsi="仿宋" w:eastAsia="仿宋_GB2312"/>
          <w:sz w:val="32"/>
          <w:szCs w:val="32"/>
          <w:lang w:eastAsia="zh-CN"/>
        </w:rPr>
        <w:t>其</w:t>
      </w:r>
      <w:r>
        <w:rPr>
          <w:rFonts w:hint="eastAsia" w:ascii="仿宋_GB2312" w:hAnsi="仿宋_GB2312" w:eastAsia="仿宋_GB2312" w:cs="仿宋_GB2312"/>
          <w:sz w:val="32"/>
        </w:rPr>
        <w:t>内设职能科室19个：办公室、应急指挥中心、人事科、新闻宣传和训练教育科、风险监测和综合减灾科、救援协调和预案管理科、火灾防治管理科、防汛抗旱科、地震和地质灾害救援科、矿山和工贸行业安全监督管理科、危险化学品和烟花爆竹安全监督管理科、安全生产综合协调科、救灾和物资保障科、政策法规科、规划财务科、调查评估和统计科、科技和信息化科、行政审批改革科、机关党委。</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局属二级机构4个，其中:独立核算的单位1个：益阳市地震局（副处级）；非独立核算的单位3个：益阳市安全生产应急救援指挥中心（副处级）、益阳市安全生产执法支队、益阳市安全生产培训中心。</w:t>
      </w:r>
    </w:p>
    <w:p>
      <w:pPr>
        <w:keepNext w:val="0"/>
        <w:keepLines w:val="0"/>
        <w:pageBreakBefore w:val="0"/>
        <w:widowControl w:val="0"/>
        <w:kinsoku/>
        <w:wordWrap/>
        <w:overflowPunct/>
        <w:topLinePunct w:val="0"/>
        <w:autoSpaceDE/>
        <w:autoSpaceDN/>
        <w:bidi w:val="0"/>
        <w:adjustRightInd/>
        <w:spacing w:line="560" w:lineRule="exact"/>
        <w:ind w:left="795" w:hanging="795"/>
        <w:jc w:val="left"/>
        <w:textAlignment w:val="auto"/>
        <w:rPr>
          <w:rFonts w:ascii="黑体" w:hAnsi="黑体" w:eastAsia="黑体" w:cs="黑体"/>
          <w:sz w:val="32"/>
        </w:rPr>
      </w:pPr>
      <w:r>
        <w:rPr>
          <w:rFonts w:ascii="黑体" w:hAnsi="黑体" w:eastAsia="黑体" w:cs="黑体"/>
          <w:sz w:val="32"/>
        </w:rPr>
        <w:t>三、部门决算单位构成</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32"/>
        </w:rPr>
        <w:t>从决算单位构成看，</w:t>
      </w:r>
      <w:r>
        <w:rPr>
          <w:rFonts w:hint="eastAsia" w:ascii="仿宋_GB2312" w:hAnsi="仿宋_GB2312" w:eastAsia="仿宋_GB2312" w:cs="仿宋_GB2312"/>
          <w:sz w:val="32"/>
          <w:lang w:eastAsia="zh-CN"/>
        </w:rPr>
        <w:t>益阳市应急管理局</w:t>
      </w:r>
      <w:r>
        <w:rPr>
          <w:rFonts w:hint="eastAsia" w:ascii="仿宋_GB2312" w:hAnsi="仿宋_GB2312" w:eastAsia="仿宋_GB2312" w:cs="仿宋_GB2312"/>
          <w:sz w:val="32"/>
        </w:rPr>
        <w:t>部门决算包括：</w:t>
      </w:r>
      <w:r>
        <w:rPr>
          <w:rFonts w:hint="eastAsia" w:ascii="仿宋_GB2312" w:hAnsi="仿宋_GB2312" w:eastAsia="仿宋_GB2312" w:cs="仿宋_GB2312"/>
          <w:sz w:val="32"/>
          <w:lang w:eastAsia="zh-CN"/>
        </w:rPr>
        <w:t>益阳市应急管理局（机关）</w:t>
      </w:r>
      <w:r>
        <w:rPr>
          <w:rFonts w:hint="eastAsia" w:ascii="仿宋_GB2312" w:hAnsi="仿宋_GB2312" w:eastAsia="仿宋_GB2312" w:cs="仿宋_GB2312"/>
          <w:sz w:val="32"/>
        </w:rPr>
        <w:t>决算、</w:t>
      </w:r>
      <w:r>
        <w:rPr>
          <w:rFonts w:hint="eastAsia" w:ascii="仿宋_GB2312" w:hAnsi="仿宋_GB2312" w:eastAsia="仿宋_GB2312" w:cs="仿宋_GB2312"/>
          <w:sz w:val="32"/>
          <w:lang w:eastAsia="zh-CN"/>
        </w:rPr>
        <w:t>益阳市地震局</w:t>
      </w:r>
      <w:r>
        <w:rPr>
          <w:rFonts w:hint="eastAsia" w:ascii="仿宋_GB2312" w:hAnsi="仿宋_GB2312" w:eastAsia="仿宋_GB2312" w:cs="仿宋_GB2312"/>
          <w:sz w:val="32"/>
        </w:rPr>
        <w:t>决算。</w:t>
      </w:r>
    </w:p>
    <w:tbl>
      <w:tblPr>
        <w:tblStyle w:val="5"/>
        <w:tblpPr w:leftFromText="180" w:rightFromText="180" w:vertAnchor="text" w:horzAnchor="page" w:tblpX="1621" w:tblpY="436"/>
        <w:tblOverlap w:val="never"/>
        <w:tblW w:w="0" w:type="auto"/>
        <w:tblInd w:w="0"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keepNext w:val="0"/>
              <w:keepLines w:val="0"/>
              <w:suppressLineNumbers w:val="0"/>
              <w:spacing w:before="0" w:beforeAutospacing="0" w:after="0" w:afterAutospacing="0"/>
              <w:ind w:left="0" w:right="0"/>
              <w:jc w:val="center"/>
              <w:rPr>
                <w:rFonts w:hint="default"/>
                <w:sz w:val="32"/>
                <w:szCs w:val="32"/>
              </w:rPr>
            </w:pPr>
            <w:r>
              <w:rPr>
                <w:rFonts w:hint="default" w:ascii="仿宋" w:hAnsi="仿宋" w:eastAsia="仿宋" w:cs="仿宋"/>
                <w:b/>
                <w:sz w:val="32"/>
                <w:szCs w:val="32"/>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keepNext w:val="0"/>
              <w:keepLines w:val="0"/>
              <w:suppressLineNumbers w:val="0"/>
              <w:spacing w:before="0" w:beforeAutospacing="0" w:after="0" w:afterAutospacing="0"/>
              <w:ind w:left="0" w:right="0"/>
              <w:jc w:val="center"/>
              <w:rPr>
                <w:rFonts w:hint="default"/>
                <w:sz w:val="32"/>
                <w:szCs w:val="32"/>
              </w:rPr>
            </w:pPr>
            <w:r>
              <w:rPr>
                <w:rFonts w:hint="default" w:ascii="仿宋" w:hAnsi="仿宋" w:eastAsia="仿宋" w:cs="仿宋"/>
                <w:b/>
                <w:sz w:val="32"/>
                <w:szCs w:val="32"/>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keepNext w:val="0"/>
              <w:keepLines w:val="0"/>
              <w:suppressLineNumbers w:val="0"/>
              <w:spacing w:before="0" w:beforeAutospacing="0" w:after="0" w:afterAutospacing="0"/>
              <w:ind w:left="0" w:right="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益阳市应急管理局（机关）</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keepNext w:val="0"/>
              <w:keepLines w:val="0"/>
              <w:suppressLineNumbers w:val="0"/>
              <w:spacing w:before="0" w:beforeAutospacing="0" w:after="0" w:afterAutospacing="0"/>
              <w:ind w:left="0" w:right="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益阳市地震局</w:t>
            </w:r>
          </w:p>
        </w:tc>
      </w:tr>
    </w:tbl>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15"/>
          <w:szCs w:val="15"/>
        </w:rPr>
      </w:pPr>
    </w:p>
    <w:p>
      <w:pPr>
        <w:jc w:val="center"/>
        <w:rPr>
          <w:rFonts w:hint="eastAsia" w:asciiTheme="majorEastAsia" w:hAnsiTheme="majorEastAsia" w:eastAsiaTheme="majorEastAsia" w:cstheme="majorEastAsia"/>
          <w:sz w:val="44"/>
        </w:rPr>
      </w:pPr>
    </w:p>
    <w:p>
      <w:pPr>
        <w:jc w:val="center"/>
        <w:rPr>
          <w:rFonts w:hint="eastAsia" w:asciiTheme="majorEastAsia" w:hAnsiTheme="majorEastAsia" w:eastAsiaTheme="majorEastAsia" w:cstheme="majorEastAsia"/>
          <w:sz w:val="44"/>
        </w:rPr>
      </w:pPr>
    </w:p>
    <w:p>
      <w:pPr>
        <w:jc w:val="both"/>
        <w:rPr>
          <w:rFonts w:hint="eastAsia" w:asciiTheme="majorEastAsia" w:hAnsiTheme="majorEastAsia" w:eastAsiaTheme="majorEastAsia" w:cstheme="majorEastAsia"/>
          <w:sz w:val="44"/>
        </w:rPr>
        <w:sectPr>
          <w:headerReference r:id="rId3" w:type="default"/>
          <w:pgSz w:w="11906" w:h="16838"/>
          <w:pgMar w:top="2098" w:right="1531" w:bottom="1984" w:left="1531" w:header="851" w:footer="992" w:gutter="0"/>
          <w:cols w:space="425" w:num="1"/>
          <w:docGrid w:type="lines" w:linePitch="312" w:charSpace="0"/>
        </w:sectPr>
      </w:pPr>
    </w:p>
    <w:p>
      <w:pPr>
        <w:jc w:val="center"/>
        <w:rPr>
          <w:rFonts w:hint="eastAsia" w:asciiTheme="majorEastAsia" w:hAnsiTheme="majorEastAsia" w:eastAsiaTheme="majorEastAsia" w:cstheme="majorEastAsia"/>
          <w:sz w:val="44"/>
        </w:rPr>
      </w:pPr>
      <w:r>
        <w:rPr>
          <w:rFonts w:hint="eastAsia" w:asciiTheme="majorEastAsia" w:hAnsiTheme="majorEastAsia" w:eastAsiaTheme="majorEastAsia" w:cstheme="majorEastAsia"/>
          <w:sz w:val="44"/>
        </w:rPr>
        <w:t xml:space="preserve">第二部分 </w:t>
      </w:r>
      <w:r>
        <w:rPr>
          <w:rFonts w:hint="eastAsia" w:asciiTheme="majorEastAsia" w:hAnsiTheme="majorEastAsia" w:eastAsiaTheme="majorEastAsia" w:cstheme="majorEastAsia"/>
          <w:sz w:val="44"/>
          <w:lang w:eastAsia="zh-CN"/>
        </w:rPr>
        <w:t>益阳市应急管理局</w:t>
      </w:r>
      <w:r>
        <w:rPr>
          <w:rFonts w:hint="eastAsia" w:asciiTheme="majorEastAsia" w:hAnsiTheme="majorEastAsia" w:eastAsiaTheme="majorEastAsia" w:cstheme="majorEastAsia"/>
          <w:sz w:val="44"/>
        </w:rPr>
        <w:t>2019 年度部门决算表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表1：收入支出决算总表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表2：收入决算表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表3：支出决算表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表4：财政拨款收入支出决算总表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表5：一般公共预算财政拨款支出决算表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表6：一般公共预算财政拨款基本支出决算表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表7：一般公共预算财政拨款“三公”经费支出决算表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cs="仿宋"/>
          <w:sz w:val="32"/>
        </w:rPr>
        <w:sectPr>
          <w:pgSz w:w="11906" w:h="16838"/>
          <w:pgMar w:top="2098" w:right="1531" w:bottom="1984" w:left="1531" w:header="851" w:footer="992" w:gutter="0"/>
          <w:cols w:space="425" w:num="1"/>
          <w:docGrid w:type="lines" w:linePitch="312" w:charSpace="0"/>
        </w:sectPr>
      </w:pPr>
      <w:r>
        <w:rPr>
          <w:rFonts w:hint="eastAsia" w:ascii="仿宋_GB2312" w:hAnsi="仿宋_GB2312" w:eastAsia="仿宋_GB2312" w:cs="仿宋_GB2312"/>
          <w:sz w:val="32"/>
        </w:rPr>
        <w:t>表8：政府性基金预算财政拨款收入支出决算表</w:t>
      </w:r>
    </w:p>
    <w:p>
      <w:pPr>
        <w:rPr>
          <w:rFonts w:ascii="仿宋" w:hAnsi="仿宋" w:eastAsia="仿宋" w:cs="仿宋"/>
          <w:sz w:val="32"/>
        </w:rPr>
      </w:pPr>
      <w:r>
        <w:drawing>
          <wp:inline distT="0" distB="0" distL="114300" distR="114300">
            <wp:extent cx="8098790" cy="5660390"/>
            <wp:effectExtent l="0" t="0" r="16510"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8098790" cy="5660390"/>
                    </a:xfrm>
                    <a:prstGeom prst="rect">
                      <a:avLst/>
                    </a:prstGeom>
                    <a:noFill/>
                    <a:ln>
                      <a:noFill/>
                    </a:ln>
                  </pic:spPr>
                </pic:pic>
              </a:graphicData>
            </a:graphic>
          </wp:inline>
        </w:drawing>
      </w:r>
    </w:p>
    <w:p>
      <w:pPr>
        <w:rPr>
          <w:rFonts w:ascii="仿宋" w:hAnsi="仿宋" w:eastAsia="仿宋" w:cs="仿宋"/>
          <w:sz w:val="32"/>
        </w:rPr>
      </w:pPr>
      <w:r>
        <w:drawing>
          <wp:inline distT="0" distB="0" distL="114300" distR="114300">
            <wp:extent cx="8093710" cy="5520690"/>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8093710" cy="5520690"/>
                    </a:xfrm>
                    <a:prstGeom prst="rect">
                      <a:avLst/>
                    </a:prstGeom>
                    <a:noFill/>
                    <a:ln>
                      <a:noFill/>
                    </a:ln>
                  </pic:spPr>
                </pic:pic>
              </a:graphicData>
            </a:graphic>
          </wp:inline>
        </w:drawing>
      </w:r>
    </w:p>
    <w:p>
      <w:pPr>
        <w:rPr>
          <w:rFonts w:ascii="仿宋" w:hAnsi="仿宋" w:eastAsia="仿宋" w:cs="仿宋"/>
          <w:sz w:val="32"/>
        </w:rPr>
      </w:pPr>
      <w:r>
        <w:drawing>
          <wp:inline distT="0" distB="0" distL="114300" distR="114300">
            <wp:extent cx="8093710" cy="5168900"/>
            <wp:effectExtent l="0" t="0" r="254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8093710" cy="5168900"/>
                    </a:xfrm>
                    <a:prstGeom prst="rect">
                      <a:avLst/>
                    </a:prstGeom>
                    <a:noFill/>
                    <a:ln>
                      <a:noFill/>
                    </a:ln>
                  </pic:spPr>
                </pic:pic>
              </a:graphicData>
            </a:graphic>
          </wp:inline>
        </w:drawing>
      </w:r>
    </w:p>
    <w:p>
      <w:pPr>
        <w:rPr>
          <w:rFonts w:ascii="仿宋" w:hAnsi="仿宋" w:eastAsia="仿宋" w:cs="仿宋"/>
          <w:sz w:val="32"/>
        </w:rPr>
      </w:pPr>
      <w:r>
        <w:drawing>
          <wp:inline distT="0" distB="0" distL="114300" distR="114300">
            <wp:extent cx="8091805" cy="5530850"/>
            <wp:effectExtent l="0" t="0" r="4445"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8091805" cy="5530850"/>
                    </a:xfrm>
                    <a:prstGeom prst="rect">
                      <a:avLst/>
                    </a:prstGeom>
                    <a:noFill/>
                    <a:ln>
                      <a:noFill/>
                    </a:ln>
                  </pic:spPr>
                </pic:pic>
              </a:graphicData>
            </a:graphic>
          </wp:inline>
        </w:drawing>
      </w:r>
    </w:p>
    <w:p>
      <w:pPr>
        <w:rPr>
          <w:rFonts w:ascii="仿宋" w:hAnsi="仿宋" w:eastAsia="仿宋" w:cs="仿宋"/>
          <w:sz w:val="32"/>
        </w:rPr>
      </w:pPr>
      <w:r>
        <w:drawing>
          <wp:inline distT="0" distB="0" distL="114300" distR="114300">
            <wp:extent cx="8091805" cy="4426585"/>
            <wp:effectExtent l="0" t="0" r="4445" b="1206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8091805" cy="4426585"/>
                    </a:xfrm>
                    <a:prstGeom prst="rect">
                      <a:avLst/>
                    </a:prstGeom>
                    <a:noFill/>
                    <a:ln>
                      <a:noFill/>
                    </a:ln>
                  </pic:spPr>
                </pic:pic>
              </a:graphicData>
            </a:graphic>
          </wp:inline>
        </w:drawing>
      </w:r>
    </w:p>
    <w:p>
      <w:pPr>
        <w:ind w:firstLine="640"/>
        <w:rPr>
          <w:rFonts w:ascii="仿宋" w:hAnsi="仿宋" w:eastAsia="仿宋" w:cs="仿宋"/>
          <w:sz w:val="32"/>
        </w:rPr>
      </w:pPr>
    </w:p>
    <w:p>
      <w:pPr>
        <w:ind w:firstLine="640"/>
        <w:rPr>
          <w:rFonts w:ascii="仿宋" w:hAnsi="仿宋" w:eastAsia="仿宋" w:cs="仿宋"/>
          <w:sz w:val="32"/>
        </w:rPr>
      </w:pPr>
    </w:p>
    <w:p>
      <w:pPr>
        <w:rPr>
          <w:rFonts w:ascii="仿宋" w:hAnsi="仿宋" w:eastAsia="仿宋" w:cs="仿宋"/>
          <w:sz w:val="32"/>
        </w:rPr>
      </w:pPr>
      <w:r>
        <w:drawing>
          <wp:inline distT="0" distB="0" distL="114300" distR="114300">
            <wp:extent cx="8096885" cy="4991735"/>
            <wp:effectExtent l="0" t="0" r="18415" b="184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8096885" cy="4991735"/>
                    </a:xfrm>
                    <a:prstGeom prst="rect">
                      <a:avLst/>
                    </a:prstGeom>
                    <a:noFill/>
                    <a:ln>
                      <a:noFill/>
                    </a:ln>
                  </pic:spPr>
                </pic:pic>
              </a:graphicData>
            </a:graphic>
          </wp:inline>
        </w:drawing>
      </w:r>
    </w:p>
    <w:p>
      <w:pPr>
        <w:ind w:firstLine="640"/>
        <w:rPr>
          <w:rFonts w:ascii="仿宋" w:hAnsi="仿宋" w:eastAsia="仿宋" w:cs="仿宋"/>
          <w:sz w:val="32"/>
        </w:rPr>
      </w:pPr>
    </w:p>
    <w:p>
      <w:pPr>
        <w:rPr>
          <w:rFonts w:ascii="仿宋" w:hAnsi="仿宋" w:eastAsia="仿宋" w:cs="仿宋"/>
          <w:sz w:val="32"/>
        </w:rPr>
      </w:pPr>
      <w:r>
        <w:drawing>
          <wp:inline distT="0" distB="0" distL="114300" distR="114300">
            <wp:extent cx="8096885" cy="5464810"/>
            <wp:effectExtent l="0" t="0" r="18415"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8096885" cy="5464810"/>
                    </a:xfrm>
                    <a:prstGeom prst="rect">
                      <a:avLst/>
                    </a:prstGeom>
                    <a:noFill/>
                    <a:ln>
                      <a:noFill/>
                    </a:ln>
                  </pic:spPr>
                </pic:pic>
              </a:graphicData>
            </a:graphic>
          </wp:inline>
        </w:drawing>
      </w:r>
    </w:p>
    <w:p>
      <w:pPr>
        <w:rPr>
          <w:rFonts w:ascii="仿宋" w:hAnsi="仿宋" w:eastAsia="仿宋" w:cs="仿宋"/>
          <w:sz w:val="32"/>
        </w:rPr>
      </w:pPr>
      <w:r>
        <w:drawing>
          <wp:inline distT="0" distB="0" distL="114300" distR="114300">
            <wp:extent cx="8096885" cy="4257040"/>
            <wp:effectExtent l="0" t="0" r="18415" b="1016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8096885" cy="4257040"/>
                    </a:xfrm>
                    <a:prstGeom prst="rect">
                      <a:avLst/>
                    </a:prstGeom>
                    <a:noFill/>
                    <a:ln>
                      <a:noFill/>
                    </a:ln>
                  </pic:spPr>
                </pic:pic>
              </a:graphicData>
            </a:graphic>
          </wp:inline>
        </w:drawing>
      </w:r>
    </w:p>
    <w:p>
      <w:pPr>
        <w:ind w:firstLine="640"/>
        <w:rPr>
          <w:rFonts w:ascii="仿宋" w:hAnsi="仿宋" w:eastAsia="仿宋" w:cs="仿宋"/>
          <w:sz w:val="32"/>
        </w:rPr>
      </w:pPr>
    </w:p>
    <w:p>
      <w:pPr>
        <w:ind w:firstLine="640"/>
        <w:rPr>
          <w:rFonts w:ascii="仿宋" w:hAnsi="仿宋" w:eastAsia="仿宋" w:cs="仿宋"/>
          <w:sz w:val="32"/>
        </w:rPr>
      </w:pPr>
    </w:p>
    <w:p>
      <w:pPr>
        <w:ind w:firstLine="640"/>
        <w:rPr>
          <w:rFonts w:ascii="仿宋" w:hAnsi="仿宋" w:eastAsia="仿宋" w:cs="仿宋"/>
          <w:sz w:val="32"/>
        </w:rPr>
      </w:pPr>
    </w:p>
    <w:p>
      <w:pPr>
        <w:rPr>
          <w:rFonts w:ascii="仿宋" w:hAnsi="仿宋" w:eastAsia="仿宋" w:cs="仿宋"/>
          <w:sz w:val="32"/>
        </w:rPr>
      </w:pPr>
      <w:r>
        <w:drawing>
          <wp:inline distT="0" distB="0" distL="114300" distR="114300">
            <wp:extent cx="8094980" cy="5459095"/>
            <wp:effectExtent l="0" t="0" r="1270"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
                    <a:stretch>
                      <a:fillRect/>
                    </a:stretch>
                  </pic:blipFill>
                  <pic:spPr>
                    <a:xfrm>
                      <a:off x="0" y="0"/>
                      <a:ext cx="8094980" cy="5459095"/>
                    </a:xfrm>
                    <a:prstGeom prst="rect">
                      <a:avLst/>
                    </a:prstGeom>
                    <a:noFill/>
                    <a:ln>
                      <a:noFill/>
                    </a:ln>
                  </pic:spPr>
                </pic:pic>
              </a:graphicData>
            </a:graphic>
          </wp:inline>
        </w:drawing>
      </w:r>
    </w:p>
    <w:p>
      <w:pPr>
        <w:rPr>
          <w:rFonts w:ascii="仿宋" w:hAnsi="仿宋" w:eastAsia="仿宋" w:cs="仿宋"/>
          <w:sz w:val="32"/>
        </w:rPr>
      </w:pPr>
      <w:r>
        <w:drawing>
          <wp:inline distT="0" distB="0" distL="114300" distR="114300">
            <wp:extent cx="8094980" cy="4927600"/>
            <wp:effectExtent l="0" t="0" r="127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4"/>
                    <a:stretch>
                      <a:fillRect/>
                    </a:stretch>
                  </pic:blipFill>
                  <pic:spPr>
                    <a:xfrm>
                      <a:off x="0" y="0"/>
                      <a:ext cx="8094980" cy="4927600"/>
                    </a:xfrm>
                    <a:prstGeom prst="rect">
                      <a:avLst/>
                    </a:prstGeom>
                    <a:noFill/>
                    <a:ln>
                      <a:noFill/>
                    </a:ln>
                  </pic:spPr>
                </pic:pic>
              </a:graphicData>
            </a:graphic>
          </wp:inline>
        </w:drawing>
      </w:r>
    </w:p>
    <w:p>
      <w:pPr>
        <w:jc w:val="left"/>
        <w:rPr>
          <w:rFonts w:ascii="仿宋" w:hAnsi="仿宋" w:eastAsia="仿宋" w:cs="仿宋"/>
          <w:sz w:val="32"/>
        </w:rPr>
      </w:pPr>
    </w:p>
    <w:p>
      <w:pPr>
        <w:jc w:val="both"/>
        <w:rPr>
          <w:rFonts w:hint="eastAsia" w:asciiTheme="majorEastAsia" w:hAnsiTheme="majorEastAsia" w:eastAsiaTheme="majorEastAsia" w:cstheme="majorEastAsia"/>
          <w:sz w:val="44"/>
          <w:szCs w:val="44"/>
        </w:rPr>
      </w:pPr>
    </w:p>
    <w:p>
      <w:pPr>
        <w:jc w:val="both"/>
      </w:pPr>
      <w:r>
        <w:drawing>
          <wp:inline distT="0" distB="0" distL="114300" distR="114300">
            <wp:extent cx="8091805" cy="5030470"/>
            <wp:effectExtent l="0" t="0" r="4445" b="177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5"/>
                    <a:stretch>
                      <a:fillRect/>
                    </a:stretch>
                  </pic:blipFill>
                  <pic:spPr>
                    <a:xfrm>
                      <a:off x="0" y="0"/>
                      <a:ext cx="8091805" cy="5030470"/>
                    </a:xfrm>
                    <a:prstGeom prst="rect">
                      <a:avLst/>
                    </a:prstGeom>
                    <a:noFill/>
                    <a:ln>
                      <a:noFill/>
                    </a:ln>
                  </pic:spPr>
                </pic:pic>
              </a:graphicData>
            </a:graphic>
          </wp:inline>
        </w:drawing>
      </w:r>
    </w:p>
    <w:p>
      <w:pPr>
        <w:jc w:val="both"/>
      </w:pPr>
      <w:r>
        <w:drawing>
          <wp:inline distT="0" distB="0" distL="114300" distR="114300">
            <wp:extent cx="8091805" cy="2891790"/>
            <wp:effectExtent l="0" t="0" r="4445" b="381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6"/>
                    <a:stretch>
                      <a:fillRect/>
                    </a:stretch>
                  </pic:blipFill>
                  <pic:spPr>
                    <a:xfrm>
                      <a:off x="0" y="0"/>
                      <a:ext cx="8091805" cy="2891790"/>
                    </a:xfrm>
                    <a:prstGeom prst="rect">
                      <a:avLst/>
                    </a:prstGeom>
                    <a:noFill/>
                    <a:ln>
                      <a:noFill/>
                    </a:ln>
                  </pic:spPr>
                </pic:pic>
              </a:graphicData>
            </a:graphic>
          </wp:inline>
        </w:drawing>
      </w: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rPr>
          <w:rFonts w:hint="eastAsia" w:eastAsiaTheme="minorEastAsia"/>
          <w:lang w:eastAsia="zh-CN"/>
        </w:rPr>
      </w:pPr>
      <w:bookmarkStart w:id="0" w:name="_GoBack"/>
      <w:r>
        <w:rPr>
          <w:rFonts w:hint="eastAsia" w:eastAsiaTheme="minorEastAsia"/>
          <w:lang w:eastAsia="zh-CN"/>
        </w:rPr>
        <w:drawing>
          <wp:inline distT="0" distB="0" distL="114300" distR="114300">
            <wp:extent cx="8097520" cy="2680970"/>
            <wp:effectExtent l="0" t="0" r="17780" b="5080"/>
            <wp:docPr id="2" name="图片 2" descr="微信图片_20210604101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6041014291"/>
                    <pic:cNvPicPr>
                      <a:picLocks noChangeAspect="1"/>
                    </pic:cNvPicPr>
                  </pic:nvPicPr>
                  <pic:blipFill>
                    <a:blip r:embed="rId17"/>
                    <a:stretch>
                      <a:fillRect/>
                    </a:stretch>
                  </pic:blipFill>
                  <pic:spPr>
                    <a:xfrm>
                      <a:off x="0" y="0"/>
                      <a:ext cx="8097520" cy="2680970"/>
                    </a:xfrm>
                    <a:prstGeom prst="rect">
                      <a:avLst/>
                    </a:prstGeom>
                  </pic:spPr>
                </pic:pic>
              </a:graphicData>
            </a:graphic>
          </wp:inline>
        </w:drawing>
      </w:r>
      <w:bookmarkEnd w:id="0"/>
    </w:p>
    <w:p>
      <w:pPr>
        <w:bidi w:val="0"/>
        <w:rPr>
          <w:rFonts w:hint="eastAsia" w:asciiTheme="minorHAnsi" w:hAnsiTheme="minorHAnsi" w:eastAsiaTheme="minorEastAsia" w:cstheme="minorBidi"/>
          <w:kern w:val="2"/>
          <w:sz w:val="21"/>
          <w:szCs w:val="22"/>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6" w:right="0" w:rightChars="0"/>
        <w:jc w:val="left"/>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说明：</w:t>
      </w:r>
      <w:r>
        <w:rPr>
          <w:rFonts w:hint="eastAsia" w:ascii="仿宋_GB2312" w:hAnsi="仿宋_GB2312" w:eastAsia="仿宋_GB2312" w:cs="仿宋_GB2312"/>
          <w:sz w:val="32"/>
          <w:szCs w:val="32"/>
          <w:lang w:eastAsia="zh-CN"/>
        </w:rPr>
        <w:t>益阳市应急管理局</w:t>
      </w:r>
      <w:r>
        <w:rPr>
          <w:rFonts w:hint="eastAsia" w:ascii="仿宋_GB2312" w:hAnsi="仿宋_GB2312" w:eastAsia="仿宋_GB2312" w:cs="仿宋_GB2312"/>
          <w:sz w:val="32"/>
          <w:szCs w:val="32"/>
        </w:rPr>
        <w:t>没有政府性基金收入，也没有政府性基金安排的支出，故本表无数据。</w:t>
      </w:r>
    </w:p>
    <w:p>
      <w:pPr>
        <w:tabs>
          <w:tab w:val="left" w:pos="2903"/>
        </w:tabs>
        <w:bidi w:val="0"/>
        <w:jc w:val="left"/>
        <w:rPr>
          <w:rFonts w:hint="eastAsia" w:ascii="仿宋_GB2312" w:hAnsi="仿宋_GB2312" w:eastAsia="仿宋_GB2312" w:cs="仿宋_GB2312"/>
          <w:lang w:val="en-US" w:eastAsia="zh-CN"/>
        </w:rPr>
        <w:sectPr>
          <w:pgSz w:w="16838" w:h="11906" w:orient="landscape"/>
          <w:pgMar w:top="1531" w:right="2098" w:bottom="1531" w:left="1984" w:header="851" w:footer="992" w:gutter="0"/>
          <w:cols w:space="425" w:num="1"/>
          <w:docGrid w:type="lines" w:linePitch="312" w:charSpace="0"/>
        </w:sect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第三部分</w:t>
      </w:r>
      <w:r>
        <w:rPr>
          <w:rFonts w:hint="eastAsia" w:asciiTheme="majorEastAsia" w:hAnsiTheme="majorEastAsia" w:eastAsiaTheme="majorEastAsia" w:cstheme="majorEastAsia"/>
          <w:sz w:val="44"/>
          <w:szCs w:val="44"/>
          <w:lang w:val="en-US" w:eastAsia="zh-CN"/>
        </w:rPr>
        <w:t xml:space="preserve">  </w:t>
      </w:r>
      <w:r>
        <w:rPr>
          <w:rFonts w:hint="eastAsia" w:asciiTheme="majorEastAsia" w:hAnsiTheme="majorEastAsia" w:eastAsiaTheme="majorEastAsia" w:cstheme="majorEastAsia"/>
          <w:sz w:val="44"/>
          <w:szCs w:val="44"/>
          <w:lang w:eastAsia="zh-CN"/>
        </w:rPr>
        <w:t>益阳市应急管理局</w:t>
      </w:r>
      <w:r>
        <w:rPr>
          <w:rFonts w:hint="eastAsia" w:asciiTheme="majorEastAsia" w:hAnsiTheme="majorEastAsia" w:eastAsiaTheme="majorEastAsia" w:cstheme="majorEastAsia"/>
          <w:sz w:val="44"/>
          <w:szCs w:val="44"/>
        </w:rPr>
        <w:t>2019 年度部门决算情况说明</w:t>
      </w:r>
    </w:p>
    <w:p>
      <w:pPr>
        <w:ind w:firstLine="640"/>
        <w:jc w:val="left"/>
        <w:rPr>
          <w:rFonts w:ascii="黑体" w:hAnsi="黑体" w:eastAsia="黑体" w:cs="黑体"/>
          <w:sz w:val="15"/>
          <w:szCs w:val="15"/>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lang w:eastAsia="zh-CN"/>
        </w:rPr>
        <w:t>益阳市应急管理局</w:t>
      </w:r>
      <w:r>
        <w:rPr>
          <w:rFonts w:ascii="黑体" w:hAnsi="黑体" w:eastAsia="黑体" w:cs="黑体"/>
          <w:sz w:val="32"/>
        </w:rPr>
        <w:t xml:space="preserve"> 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eastAsia="zh-CN"/>
        </w:rPr>
        <w:t>益阳市应急管理局</w:t>
      </w:r>
      <w:r>
        <w:rPr>
          <w:rFonts w:hint="eastAsia" w:ascii="仿宋_GB2312" w:hAnsi="仿宋_GB2312" w:eastAsia="仿宋_GB2312" w:cs="仿宋_GB2312"/>
          <w:sz w:val="32"/>
        </w:rPr>
        <w:t>2019年度收</w:t>
      </w:r>
      <w:r>
        <w:rPr>
          <w:rFonts w:hint="eastAsia" w:ascii="仿宋_GB2312" w:hAnsi="仿宋_GB2312" w:eastAsia="仿宋_GB2312" w:cs="仿宋_GB2312"/>
          <w:sz w:val="32"/>
          <w:lang w:eastAsia="zh-CN"/>
        </w:rPr>
        <w:t>、支</w:t>
      </w:r>
      <w:r>
        <w:rPr>
          <w:rFonts w:hint="eastAsia" w:ascii="仿宋_GB2312" w:hAnsi="仿宋_GB2312" w:eastAsia="仿宋_GB2312" w:cs="仿宋_GB2312"/>
          <w:sz w:val="32"/>
        </w:rPr>
        <w:t>总计</w:t>
      </w:r>
      <w:r>
        <w:rPr>
          <w:rFonts w:hint="eastAsia" w:ascii="仿宋_GB2312" w:hAnsi="仿宋_GB2312" w:eastAsia="仿宋_GB2312" w:cs="仿宋_GB2312"/>
          <w:sz w:val="32"/>
          <w:lang w:val="en-US" w:eastAsia="zh-CN"/>
        </w:rPr>
        <w:t>2168.40</w:t>
      </w:r>
      <w:r>
        <w:rPr>
          <w:rFonts w:hint="eastAsia" w:ascii="仿宋_GB2312" w:hAnsi="仿宋_GB2312" w:eastAsia="仿宋_GB2312" w:cs="仿宋_GB2312"/>
          <w:sz w:val="32"/>
        </w:rPr>
        <w:t>万元，比上年同期</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122.23</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下降</w:t>
      </w:r>
      <w:r>
        <w:rPr>
          <w:rFonts w:hint="eastAsia" w:ascii="仿宋_GB2312" w:hAnsi="仿宋_GB2312" w:eastAsia="仿宋_GB2312" w:cs="仿宋_GB2312"/>
          <w:sz w:val="32"/>
          <w:lang w:val="en-US" w:eastAsia="zh-CN"/>
        </w:rPr>
        <w:t>5.34</w:t>
      </w:r>
      <w:r>
        <w:rPr>
          <w:rFonts w:hint="eastAsia" w:ascii="仿宋_GB2312" w:hAnsi="仿宋_GB2312" w:eastAsia="仿宋_GB2312" w:cs="仿宋_GB2312"/>
          <w:sz w:val="32"/>
        </w:rPr>
        <w:t>%；主要原因</w:t>
      </w:r>
      <w:r>
        <w:rPr>
          <w:rFonts w:hint="eastAsia" w:ascii="仿宋_GB2312" w:hAnsi="仿宋_GB2312" w:eastAsia="仿宋_GB2312" w:cs="仿宋_GB2312"/>
          <w:sz w:val="32"/>
          <w:lang w:eastAsia="zh-CN"/>
        </w:rPr>
        <w:t>：市财政返还局机关被统筹的结转结余资金</w:t>
      </w:r>
      <w:r>
        <w:rPr>
          <w:rFonts w:hint="eastAsia" w:ascii="仿宋_GB2312" w:hAnsi="仿宋_GB2312" w:eastAsia="仿宋_GB2312" w:cs="仿宋_GB2312"/>
          <w:sz w:val="32"/>
          <w:lang w:val="en-US" w:eastAsia="zh-CN"/>
        </w:rPr>
        <w:t>和</w:t>
      </w:r>
      <w:r>
        <w:rPr>
          <w:rFonts w:hint="eastAsia" w:ascii="仿宋_GB2312" w:hAnsi="仿宋_GB2312" w:eastAsia="仿宋_GB2312" w:cs="仿宋_GB2312"/>
          <w:sz w:val="32"/>
          <w:szCs w:val="32"/>
          <w:lang w:eastAsia="zh-CN"/>
        </w:rPr>
        <w:t>省地震局下拨的地震事务专项资金减少。</w:t>
      </w:r>
    </w:p>
    <w:p>
      <w:pPr>
        <w:keepNext w:val="0"/>
        <w:keepLines w:val="0"/>
        <w:pageBreakBefore w:val="0"/>
        <w:widowControl w:val="0"/>
        <w:kinsoku/>
        <w:wordWrap/>
        <w:overflowPunct/>
        <w:topLinePunct w:val="0"/>
        <w:autoSpaceDE/>
        <w:autoSpaceDN/>
        <w:bidi w:val="0"/>
        <w:adjustRightInd/>
        <w:snapToGrid/>
        <w:spacing w:line="560" w:lineRule="exact"/>
        <w:ind w:left="720"/>
        <w:jc w:val="left"/>
        <w:textAlignment w:val="auto"/>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lang w:eastAsia="zh-CN"/>
        </w:rPr>
        <w:t>益阳市应急管理局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ascii="仿宋" w:hAnsi="仿宋" w:eastAsia="仿宋" w:cs="仿宋"/>
          <w:sz w:val="32"/>
        </w:rPr>
      </w:pPr>
      <w:r>
        <w:rPr>
          <w:rFonts w:hint="eastAsia" w:ascii="仿宋_GB2312" w:hAnsi="仿宋_GB2312" w:eastAsia="仿宋_GB2312" w:cs="仿宋_GB2312"/>
          <w:sz w:val="32"/>
        </w:rPr>
        <w:t xml:space="preserve">2019年度收入合计 </w:t>
      </w:r>
      <w:r>
        <w:rPr>
          <w:rFonts w:hint="eastAsia" w:ascii="仿宋_GB2312" w:hAnsi="仿宋_GB2312" w:eastAsia="仿宋_GB2312" w:cs="仿宋_GB2312"/>
          <w:sz w:val="32"/>
          <w:lang w:val="en-US" w:eastAsia="zh-CN"/>
        </w:rPr>
        <w:t>1465.80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全部为财政拨款收入。</w:t>
      </w:r>
    </w:p>
    <w:p>
      <w:pPr>
        <w:keepNext w:val="0"/>
        <w:keepLines w:val="0"/>
        <w:pageBreakBefore w:val="0"/>
        <w:widowControl w:val="0"/>
        <w:kinsoku/>
        <w:wordWrap/>
        <w:overflowPunct/>
        <w:topLinePunct w:val="0"/>
        <w:autoSpaceDE/>
        <w:autoSpaceDN/>
        <w:bidi w:val="0"/>
        <w:adjustRightInd/>
        <w:snapToGrid/>
        <w:spacing w:line="560" w:lineRule="exact"/>
        <w:ind w:left="720"/>
        <w:jc w:val="left"/>
        <w:textAlignment w:val="auto"/>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lang w:eastAsia="zh-CN"/>
        </w:rPr>
        <w:t>益阳市应急管理局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2019年度支出合计</w:t>
      </w:r>
      <w:r>
        <w:rPr>
          <w:rFonts w:hint="eastAsia" w:ascii="仿宋_GB2312" w:hAnsi="仿宋_GB2312" w:eastAsia="仿宋_GB2312" w:cs="仿宋_GB2312"/>
          <w:sz w:val="32"/>
          <w:lang w:val="en-US" w:eastAsia="zh-CN"/>
        </w:rPr>
        <w:t>1332.20万元</w:t>
      </w:r>
      <w:r>
        <w:rPr>
          <w:rFonts w:hint="eastAsia" w:ascii="仿宋_GB2312" w:hAnsi="仿宋_GB2312" w:eastAsia="仿宋_GB2312" w:cs="仿宋_GB2312"/>
          <w:sz w:val="32"/>
        </w:rPr>
        <w:t>，其中：基本支出</w:t>
      </w:r>
      <w:r>
        <w:rPr>
          <w:rFonts w:hint="eastAsia" w:ascii="仿宋_GB2312" w:hAnsi="仿宋_GB2312" w:eastAsia="仿宋_GB2312" w:cs="仿宋_GB2312"/>
          <w:sz w:val="32"/>
          <w:lang w:val="en-US" w:eastAsia="zh-CN"/>
        </w:rPr>
        <w:t>914.70</w:t>
      </w:r>
      <w:r>
        <w:rPr>
          <w:rFonts w:hint="eastAsia" w:ascii="仿宋_GB2312" w:hAnsi="仿宋_GB2312" w:eastAsia="仿宋_GB2312" w:cs="仿宋_GB2312"/>
          <w:sz w:val="32"/>
        </w:rPr>
        <w:t xml:space="preserve">万元，占 </w:t>
      </w:r>
      <w:r>
        <w:rPr>
          <w:rFonts w:hint="eastAsia" w:ascii="仿宋_GB2312" w:hAnsi="仿宋_GB2312" w:eastAsia="仿宋_GB2312" w:cs="仿宋_GB2312"/>
          <w:sz w:val="32"/>
          <w:lang w:val="en-US" w:eastAsia="zh-CN"/>
        </w:rPr>
        <w:t>68.66</w:t>
      </w:r>
      <w:r>
        <w:rPr>
          <w:rFonts w:hint="eastAsia" w:ascii="仿宋_GB2312" w:hAnsi="仿宋_GB2312" w:eastAsia="仿宋_GB2312" w:cs="仿宋_GB2312"/>
          <w:sz w:val="32"/>
        </w:rPr>
        <w:t>%；项目支出</w:t>
      </w:r>
      <w:r>
        <w:rPr>
          <w:rFonts w:hint="eastAsia" w:ascii="仿宋_GB2312" w:hAnsi="仿宋_GB2312" w:eastAsia="仿宋_GB2312" w:cs="仿宋_GB2312"/>
          <w:sz w:val="32"/>
          <w:lang w:val="en-US" w:eastAsia="zh-CN"/>
        </w:rPr>
        <w:t>417.50</w:t>
      </w:r>
      <w:r>
        <w:rPr>
          <w:rFonts w:hint="eastAsia" w:ascii="仿宋_GB2312" w:hAnsi="仿宋_GB2312" w:eastAsia="仿宋_GB2312" w:cs="仿宋_GB2312"/>
          <w:sz w:val="32"/>
        </w:rPr>
        <w:t>万元，占</w:t>
      </w:r>
      <w:r>
        <w:rPr>
          <w:rFonts w:hint="eastAsia" w:ascii="仿宋_GB2312" w:hAnsi="仿宋_GB2312" w:eastAsia="仿宋_GB2312" w:cs="仿宋_GB2312"/>
          <w:sz w:val="32"/>
          <w:lang w:val="en-US" w:eastAsia="zh-CN"/>
        </w:rPr>
        <w:t>31.34</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黑体" w:hAnsi="黑体" w:eastAsia="黑体" w:cs="黑体"/>
          <w:sz w:val="32"/>
        </w:rPr>
      </w:pPr>
      <w:r>
        <w:rPr>
          <w:rFonts w:ascii="黑体" w:hAnsi="黑体" w:eastAsia="黑体" w:cs="黑体"/>
          <w:sz w:val="32"/>
        </w:rPr>
        <w:t xml:space="preserve"> 四、关于</w:t>
      </w:r>
      <w:r>
        <w:rPr>
          <w:rFonts w:hint="eastAsia" w:ascii="黑体" w:hAnsi="黑体" w:eastAsia="黑体" w:cs="黑体"/>
          <w:sz w:val="32"/>
          <w:lang w:eastAsia="zh-CN"/>
        </w:rPr>
        <w:t>益阳市应急管理局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lang w:eastAsia="zh-CN"/>
        </w:rPr>
      </w:pPr>
      <w:r>
        <w:rPr>
          <w:rFonts w:ascii="仿宋" w:hAnsi="仿宋" w:eastAsia="仿宋" w:cs="仿宋"/>
          <w:sz w:val="32"/>
        </w:rPr>
        <w:t xml:space="preserve"> </w:t>
      </w:r>
      <w:r>
        <w:rPr>
          <w:rFonts w:hint="eastAsia" w:ascii="仿宋_GB2312" w:hAnsi="仿宋_GB2312" w:eastAsia="仿宋_GB2312" w:cs="仿宋_GB2312"/>
          <w:sz w:val="32"/>
        </w:rPr>
        <w:t>2019 年度财政拨款收</w:t>
      </w:r>
      <w:r>
        <w:rPr>
          <w:rFonts w:hint="eastAsia" w:ascii="仿宋_GB2312" w:hAnsi="仿宋_GB2312" w:eastAsia="仿宋_GB2312" w:cs="仿宋_GB2312"/>
          <w:sz w:val="32"/>
          <w:lang w:eastAsia="zh-CN"/>
        </w:rPr>
        <w:t>、支总计</w:t>
      </w:r>
      <w:r>
        <w:rPr>
          <w:rFonts w:hint="eastAsia" w:ascii="仿宋_GB2312" w:hAnsi="仿宋_GB2312" w:eastAsia="仿宋_GB2312" w:cs="仿宋_GB2312"/>
          <w:sz w:val="32"/>
          <w:lang w:val="en-US" w:eastAsia="zh-CN"/>
        </w:rPr>
        <w:t>2102.60万元，减少109.01万元，下降4.93%，</w:t>
      </w:r>
      <w:r>
        <w:rPr>
          <w:rFonts w:hint="eastAsia" w:ascii="仿宋_GB2312" w:hAnsi="仿宋_GB2312" w:eastAsia="仿宋_GB2312" w:cs="仿宋_GB2312"/>
          <w:sz w:val="32"/>
        </w:rPr>
        <w:t>主要原因</w:t>
      </w:r>
      <w:r>
        <w:rPr>
          <w:rFonts w:hint="eastAsia" w:ascii="仿宋_GB2312" w:hAnsi="仿宋_GB2312" w:eastAsia="仿宋_GB2312" w:cs="仿宋_GB2312"/>
          <w:sz w:val="32"/>
          <w:lang w:eastAsia="zh-CN"/>
        </w:rPr>
        <w:t>：市财政返还局机关被统筹的结转结余资金</w:t>
      </w:r>
      <w:r>
        <w:rPr>
          <w:rFonts w:hint="eastAsia" w:ascii="仿宋_GB2312" w:hAnsi="仿宋_GB2312" w:eastAsia="仿宋_GB2312" w:cs="仿宋_GB2312"/>
          <w:sz w:val="32"/>
          <w:lang w:val="en-US" w:eastAsia="zh-CN"/>
        </w:rPr>
        <w:t>和</w:t>
      </w:r>
      <w:r>
        <w:rPr>
          <w:rFonts w:hint="eastAsia" w:ascii="仿宋_GB2312" w:hAnsi="仿宋_GB2312" w:eastAsia="仿宋_GB2312" w:cs="仿宋_GB2312"/>
          <w:sz w:val="32"/>
          <w:szCs w:val="32"/>
          <w:lang w:eastAsia="zh-CN"/>
        </w:rPr>
        <w:t>省地震局下拨的地震事务专项资金减少。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lang w:eastAsia="zh-CN"/>
        </w:rPr>
        <w:t>益阳市应急管理局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楷体" w:hAnsi="楷体" w:eastAsia="楷体" w:cs="楷体"/>
          <w:sz w:val="32"/>
        </w:rPr>
      </w:pPr>
      <w:r>
        <w:rPr>
          <w:rFonts w:ascii="楷体" w:hAnsi="楷体" w:eastAsia="楷体" w:cs="楷体"/>
          <w:sz w:val="32"/>
        </w:rPr>
        <w:t>（一）一般公共预算财政拨款收入支出决算总体情况</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2019 年度</w:t>
      </w:r>
      <w:r>
        <w:rPr>
          <w:rFonts w:hint="eastAsia" w:ascii="仿宋_GB2312" w:hAnsi="仿宋_GB2312" w:eastAsia="仿宋_GB2312" w:cs="仿宋_GB2312"/>
          <w:sz w:val="32"/>
          <w:lang w:eastAsia="zh-CN"/>
        </w:rPr>
        <w:t>一般公共预算</w:t>
      </w:r>
      <w:r>
        <w:rPr>
          <w:rFonts w:hint="eastAsia" w:ascii="仿宋_GB2312" w:hAnsi="仿宋_GB2312" w:eastAsia="仿宋_GB2312" w:cs="仿宋_GB2312"/>
          <w:sz w:val="32"/>
        </w:rPr>
        <w:t>财政拨款收入总计</w:t>
      </w:r>
      <w:r>
        <w:rPr>
          <w:rFonts w:hint="eastAsia" w:ascii="仿宋_GB2312" w:hAnsi="仿宋_GB2312" w:eastAsia="仿宋_GB2312" w:cs="仿宋_GB2312"/>
          <w:sz w:val="32"/>
          <w:lang w:val="en-US" w:eastAsia="zh-CN"/>
        </w:rPr>
        <w:t>1465.80</w:t>
      </w:r>
      <w:r>
        <w:rPr>
          <w:rFonts w:hint="eastAsia" w:ascii="仿宋_GB2312" w:hAnsi="仿宋_GB2312" w:eastAsia="仿宋_GB2312" w:cs="仿宋_GB2312"/>
          <w:sz w:val="32"/>
        </w:rPr>
        <w:t>万元，比上年同期</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138.77</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下降</w:t>
      </w:r>
      <w:r>
        <w:rPr>
          <w:rFonts w:hint="eastAsia" w:ascii="仿宋_GB2312" w:hAnsi="仿宋_GB2312" w:eastAsia="仿宋_GB2312" w:cs="仿宋_GB2312"/>
          <w:sz w:val="32"/>
          <w:lang w:val="en-US" w:eastAsia="zh-CN"/>
        </w:rPr>
        <w:t>8.65</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一般公共预算</w:t>
      </w:r>
      <w:r>
        <w:rPr>
          <w:rFonts w:hint="eastAsia" w:ascii="仿宋_GB2312" w:hAnsi="仿宋_GB2312" w:eastAsia="仿宋_GB2312" w:cs="仿宋_GB2312"/>
          <w:sz w:val="32"/>
        </w:rPr>
        <w:t>财政拨款支出总计</w:t>
      </w:r>
      <w:r>
        <w:rPr>
          <w:rFonts w:hint="eastAsia" w:ascii="仿宋_GB2312" w:hAnsi="仿宋_GB2312" w:eastAsia="仿宋_GB2312" w:cs="仿宋_GB2312"/>
          <w:sz w:val="32"/>
          <w:lang w:val="en-US" w:eastAsia="zh-CN"/>
        </w:rPr>
        <w:t>1288.10</w:t>
      </w:r>
      <w:r>
        <w:rPr>
          <w:rFonts w:hint="eastAsia" w:ascii="仿宋_GB2312" w:hAnsi="仿宋_GB2312" w:eastAsia="仿宋_GB2312" w:cs="仿宋_GB2312"/>
          <w:sz w:val="32"/>
        </w:rPr>
        <w:t>万元，比上年同期减少</w:t>
      </w:r>
      <w:r>
        <w:rPr>
          <w:rFonts w:hint="eastAsia" w:ascii="仿宋_GB2312" w:hAnsi="仿宋_GB2312" w:eastAsia="仿宋_GB2312" w:cs="仿宋_GB2312"/>
          <w:sz w:val="32"/>
          <w:lang w:val="en-US" w:eastAsia="zh-CN"/>
        </w:rPr>
        <w:t>502.25</w:t>
      </w:r>
      <w:r>
        <w:rPr>
          <w:rFonts w:hint="eastAsia" w:ascii="仿宋_GB2312" w:hAnsi="仿宋_GB2312" w:eastAsia="仿宋_GB2312" w:cs="仿宋_GB2312"/>
          <w:sz w:val="32"/>
        </w:rPr>
        <w:t>万元，下降</w:t>
      </w:r>
      <w:r>
        <w:rPr>
          <w:rFonts w:hint="eastAsia" w:ascii="仿宋_GB2312" w:hAnsi="仿宋_GB2312" w:eastAsia="仿宋_GB2312" w:cs="仿宋_GB2312"/>
          <w:sz w:val="32"/>
          <w:lang w:val="en-US" w:eastAsia="zh-CN"/>
        </w:rPr>
        <w:t>28.05</w:t>
      </w:r>
      <w:r>
        <w:rPr>
          <w:rFonts w:hint="eastAsia" w:ascii="仿宋_GB2312" w:hAnsi="仿宋_GB2312" w:eastAsia="仿宋_GB2312" w:cs="仿宋_GB2312"/>
          <w:sz w:val="32"/>
        </w:rPr>
        <w:t>%。主要原因：</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rPr>
        <w:t>收入</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市财政返还局机关被统筹的结转结余资金</w:t>
      </w:r>
      <w:r>
        <w:rPr>
          <w:rFonts w:hint="eastAsia" w:ascii="仿宋_GB2312" w:hAnsi="仿宋_GB2312" w:eastAsia="仿宋_GB2312" w:cs="仿宋_GB2312"/>
          <w:sz w:val="32"/>
          <w:lang w:val="en-US" w:eastAsia="zh-CN"/>
        </w:rPr>
        <w:t>和</w:t>
      </w:r>
      <w:r>
        <w:rPr>
          <w:rFonts w:hint="eastAsia" w:ascii="仿宋_GB2312" w:hAnsi="仿宋_GB2312" w:eastAsia="仿宋_GB2312" w:cs="仿宋_GB2312"/>
          <w:sz w:val="32"/>
          <w:szCs w:val="32"/>
          <w:lang w:eastAsia="zh-CN"/>
        </w:rPr>
        <w:t>省地震局下拨的地震事务专项资金减少。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支出</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应急救援指挥平台已经于</w:t>
      </w:r>
      <w:r>
        <w:rPr>
          <w:rFonts w:hint="eastAsia" w:ascii="仿宋_GB2312" w:hAnsi="仿宋_GB2312" w:eastAsia="仿宋_GB2312" w:cs="仿宋_GB2312"/>
          <w:sz w:val="32"/>
          <w:lang w:val="en-US" w:eastAsia="zh-CN"/>
        </w:rPr>
        <w:t>2018年</w:t>
      </w:r>
      <w:r>
        <w:rPr>
          <w:rFonts w:hint="eastAsia" w:ascii="仿宋_GB2312" w:hAnsi="仿宋_GB2312" w:eastAsia="仿宋_GB2312" w:cs="仿宋_GB2312"/>
          <w:sz w:val="32"/>
          <w:lang w:eastAsia="zh-CN"/>
        </w:rPr>
        <w:t>建设完成，本年度无大额项目支出。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楷体" w:hAnsi="楷体" w:eastAsia="楷体" w:cs="楷体"/>
          <w:sz w:val="32"/>
        </w:rPr>
      </w:pPr>
      <w:r>
        <w:rPr>
          <w:rFonts w:ascii="楷体" w:hAnsi="楷体" w:eastAsia="楷体" w:cs="楷体"/>
          <w:sz w:val="32"/>
        </w:rPr>
        <w:t>（二）一般公共预算财政拨款支出决算构成情况</w:t>
      </w:r>
    </w:p>
    <w:p>
      <w:pPr>
        <w:keepNext w:val="0"/>
        <w:keepLines w:val="0"/>
        <w:pageBreakBefore w:val="0"/>
        <w:widowControl w:val="0"/>
        <w:kinsoku/>
        <w:wordWrap/>
        <w:overflowPunct/>
        <w:topLinePunct w:val="0"/>
        <w:autoSpaceDE/>
        <w:autoSpaceDN/>
        <w:bidi w:val="0"/>
        <w:adjustRightInd/>
        <w:snapToGrid/>
        <w:spacing w:line="560" w:lineRule="exact"/>
        <w:ind w:firstLine="806" w:firstLineChars="252"/>
        <w:jc w:val="both"/>
        <w:textAlignment w:val="auto"/>
        <w:rPr>
          <w:rFonts w:hint="default" w:ascii="楷体" w:hAnsi="楷体" w:eastAsia="楷体" w:cs="楷体"/>
          <w:sz w:val="32"/>
          <w:lang w:val="en-US"/>
        </w:rPr>
      </w:pPr>
      <w:r>
        <w:rPr>
          <w:rFonts w:hint="eastAsia" w:ascii="仿宋_GB2312" w:hAnsi="仿宋_GB2312" w:eastAsia="仿宋_GB2312" w:cs="仿宋_GB2312"/>
          <w:sz w:val="32"/>
        </w:rPr>
        <w:t>2019 年度</w:t>
      </w:r>
      <w:r>
        <w:rPr>
          <w:rFonts w:hint="eastAsia" w:ascii="仿宋_GB2312" w:hAnsi="仿宋_GB2312" w:eastAsia="仿宋_GB2312" w:cs="仿宋_GB2312"/>
          <w:sz w:val="32"/>
          <w:lang w:eastAsia="zh-CN"/>
        </w:rPr>
        <w:t>一般公共预算</w:t>
      </w:r>
      <w:r>
        <w:rPr>
          <w:rFonts w:hint="eastAsia" w:ascii="仿宋_GB2312" w:hAnsi="仿宋_GB2312" w:eastAsia="仿宋_GB2312" w:cs="仿宋_GB2312"/>
          <w:sz w:val="32"/>
        </w:rPr>
        <w:t>财政拨款支出</w:t>
      </w:r>
      <w:r>
        <w:rPr>
          <w:rFonts w:hint="eastAsia" w:ascii="仿宋_GB2312" w:hAnsi="仿宋_GB2312" w:eastAsia="仿宋_GB2312" w:cs="仿宋_GB2312"/>
          <w:sz w:val="32"/>
          <w:lang w:val="en-US" w:eastAsia="zh-CN"/>
        </w:rPr>
        <w:t>1288.10</w:t>
      </w:r>
      <w:r>
        <w:rPr>
          <w:rFonts w:hint="eastAsia" w:ascii="仿宋_GB2312" w:hAnsi="仿宋_GB2312" w:eastAsia="仿宋_GB2312" w:cs="仿宋_GB2312"/>
          <w:sz w:val="32"/>
        </w:rPr>
        <w:t>万元，主要用于以下方面</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一般公共服务（类）支出</w:t>
      </w:r>
      <w:r>
        <w:rPr>
          <w:rFonts w:hint="eastAsia" w:ascii="仿宋_GB2312" w:hAnsi="仿宋_GB2312" w:eastAsia="仿宋_GB2312" w:cs="仿宋_GB2312"/>
          <w:sz w:val="32"/>
          <w:lang w:val="en-US" w:eastAsia="zh-CN"/>
        </w:rPr>
        <w:t>5.10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占</w:t>
      </w:r>
      <w:r>
        <w:rPr>
          <w:rFonts w:hint="eastAsia" w:ascii="仿宋_GB2312" w:hAnsi="仿宋_GB2312" w:eastAsia="仿宋_GB2312" w:cs="仿宋_GB2312"/>
          <w:sz w:val="32"/>
          <w:lang w:val="en-US" w:eastAsia="zh-CN"/>
        </w:rPr>
        <w:t>0.39</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eastAsia="zh-CN"/>
        </w:rPr>
        <w:t>教育</w:t>
      </w:r>
      <w:r>
        <w:rPr>
          <w:rFonts w:hint="eastAsia" w:ascii="仿宋_GB2312" w:hAnsi="仿宋_GB2312" w:eastAsia="仿宋_GB2312" w:cs="仿宋_GB2312"/>
          <w:sz w:val="32"/>
        </w:rPr>
        <w:t xml:space="preserve">（类）支出 </w:t>
      </w:r>
      <w:r>
        <w:rPr>
          <w:rFonts w:hint="eastAsia" w:ascii="仿宋_GB2312" w:hAnsi="仿宋_GB2312" w:eastAsia="仿宋_GB2312" w:cs="仿宋_GB2312"/>
          <w:sz w:val="32"/>
          <w:lang w:val="en-US" w:eastAsia="zh-CN"/>
        </w:rPr>
        <w:t>1.20</w:t>
      </w:r>
      <w:r>
        <w:rPr>
          <w:rFonts w:hint="eastAsia" w:ascii="仿宋_GB2312" w:hAnsi="仿宋_GB2312" w:eastAsia="仿宋_GB2312" w:cs="仿宋_GB2312"/>
          <w:sz w:val="32"/>
        </w:rPr>
        <w:t>万元，占</w:t>
      </w:r>
      <w:r>
        <w:rPr>
          <w:rFonts w:hint="eastAsia" w:ascii="仿宋_GB2312" w:hAnsi="仿宋_GB2312" w:eastAsia="仿宋_GB2312" w:cs="仿宋_GB2312"/>
          <w:sz w:val="32"/>
          <w:lang w:val="en-US" w:eastAsia="zh-CN"/>
        </w:rPr>
        <w:t>0.09</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社会保障和就业</w:t>
      </w:r>
      <w:r>
        <w:rPr>
          <w:rFonts w:hint="eastAsia" w:ascii="仿宋_GB2312" w:hAnsi="仿宋_GB2312" w:eastAsia="仿宋_GB2312" w:cs="仿宋_GB2312"/>
          <w:sz w:val="32"/>
        </w:rPr>
        <w:t>（类）支出</w:t>
      </w:r>
      <w:r>
        <w:rPr>
          <w:rFonts w:hint="eastAsia" w:ascii="仿宋_GB2312" w:hAnsi="仿宋_GB2312" w:eastAsia="仿宋_GB2312" w:cs="仿宋_GB2312"/>
          <w:sz w:val="32"/>
          <w:lang w:val="en-US" w:eastAsia="zh-CN"/>
        </w:rPr>
        <w:t>7.70</w:t>
      </w:r>
      <w:r>
        <w:rPr>
          <w:rFonts w:hint="eastAsia" w:ascii="仿宋_GB2312" w:hAnsi="仿宋_GB2312" w:eastAsia="仿宋_GB2312" w:cs="仿宋_GB2312"/>
          <w:sz w:val="32"/>
        </w:rPr>
        <w:t xml:space="preserve">万元，占 </w:t>
      </w:r>
      <w:r>
        <w:rPr>
          <w:rFonts w:hint="eastAsia" w:ascii="仿宋_GB2312" w:hAnsi="仿宋_GB2312" w:eastAsia="仿宋_GB2312" w:cs="仿宋_GB2312"/>
          <w:sz w:val="32"/>
          <w:lang w:val="en-US" w:eastAsia="zh-CN"/>
        </w:rPr>
        <w:t>0.60</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卫生健康</w:t>
      </w:r>
      <w:r>
        <w:rPr>
          <w:rFonts w:hint="eastAsia" w:ascii="仿宋_GB2312" w:hAnsi="仿宋_GB2312" w:eastAsia="仿宋_GB2312" w:cs="仿宋_GB2312"/>
          <w:sz w:val="32"/>
        </w:rPr>
        <w:t>（类）支出</w:t>
      </w:r>
      <w:r>
        <w:rPr>
          <w:rFonts w:hint="eastAsia" w:ascii="仿宋_GB2312" w:hAnsi="仿宋_GB2312" w:eastAsia="仿宋_GB2312" w:cs="仿宋_GB2312"/>
          <w:sz w:val="32"/>
          <w:lang w:val="en-US" w:eastAsia="zh-CN"/>
        </w:rPr>
        <w:t>41.80</w:t>
      </w:r>
      <w:r>
        <w:rPr>
          <w:rFonts w:hint="eastAsia" w:ascii="仿宋_GB2312" w:hAnsi="仿宋_GB2312" w:eastAsia="仿宋_GB2312" w:cs="仿宋_GB2312"/>
          <w:sz w:val="32"/>
        </w:rPr>
        <w:t>万元，占</w:t>
      </w:r>
      <w:r>
        <w:rPr>
          <w:rFonts w:hint="eastAsia" w:ascii="仿宋_GB2312" w:hAnsi="仿宋_GB2312" w:eastAsia="仿宋_GB2312" w:cs="仿宋_GB2312"/>
          <w:sz w:val="32"/>
          <w:lang w:val="en-US" w:eastAsia="zh-CN"/>
        </w:rPr>
        <w:t>3.25</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eastAsia="zh-CN"/>
        </w:rPr>
        <w:t>资源勘探信息等</w:t>
      </w:r>
      <w:r>
        <w:rPr>
          <w:rFonts w:hint="eastAsia" w:ascii="仿宋_GB2312" w:hAnsi="仿宋_GB2312" w:eastAsia="仿宋_GB2312" w:cs="仿宋_GB2312"/>
          <w:sz w:val="32"/>
        </w:rPr>
        <w:t>（类）支出</w:t>
      </w:r>
      <w:r>
        <w:rPr>
          <w:rFonts w:hint="eastAsia" w:ascii="仿宋_GB2312" w:hAnsi="仿宋_GB2312" w:eastAsia="仿宋_GB2312" w:cs="仿宋_GB2312"/>
          <w:sz w:val="32"/>
          <w:lang w:val="en-US" w:eastAsia="zh-CN"/>
        </w:rPr>
        <w:t>18.00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占</w:t>
      </w:r>
      <w:r>
        <w:rPr>
          <w:rFonts w:hint="eastAsia" w:ascii="仿宋_GB2312" w:hAnsi="仿宋_GB2312" w:eastAsia="仿宋_GB2312" w:cs="仿宋_GB2312"/>
          <w:sz w:val="32"/>
          <w:lang w:val="en-US" w:eastAsia="zh-CN"/>
        </w:rPr>
        <w:t>1.40</w:t>
      </w:r>
      <w:r>
        <w:rPr>
          <w:rFonts w:hint="eastAsia" w:ascii="仿宋_GB2312" w:hAnsi="仿宋_GB2312" w:eastAsia="仿宋_GB2312" w:cs="仿宋_GB2312"/>
          <w:sz w:val="32"/>
        </w:rPr>
        <w:t xml:space="preserve">%； 住房保障（类）支出 </w:t>
      </w:r>
      <w:r>
        <w:rPr>
          <w:rFonts w:hint="eastAsia" w:ascii="仿宋_GB2312" w:hAnsi="仿宋_GB2312" w:eastAsia="仿宋_GB2312" w:cs="仿宋_GB2312"/>
          <w:sz w:val="32"/>
          <w:lang w:val="en-US" w:eastAsia="zh-CN"/>
        </w:rPr>
        <w:t>41.00</w:t>
      </w:r>
      <w:r>
        <w:rPr>
          <w:rFonts w:hint="eastAsia" w:ascii="仿宋_GB2312" w:hAnsi="仿宋_GB2312" w:eastAsia="仿宋_GB2312" w:cs="仿宋_GB2312"/>
          <w:sz w:val="32"/>
        </w:rPr>
        <w:t>万元，占</w:t>
      </w:r>
      <w:r>
        <w:rPr>
          <w:rFonts w:hint="eastAsia" w:ascii="仿宋_GB2312" w:hAnsi="仿宋_GB2312" w:eastAsia="仿宋_GB2312" w:cs="仿宋_GB2312"/>
          <w:sz w:val="32"/>
          <w:lang w:val="en-US" w:eastAsia="zh-CN"/>
        </w:rPr>
        <w:t>3.18</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灾害防治及应急管理</w:t>
      </w:r>
      <w:r>
        <w:rPr>
          <w:rFonts w:hint="eastAsia" w:ascii="仿宋_GB2312" w:hAnsi="仿宋_GB2312" w:eastAsia="仿宋_GB2312" w:cs="仿宋_GB2312"/>
          <w:sz w:val="32"/>
        </w:rPr>
        <w:t xml:space="preserve">（类）支出 </w:t>
      </w:r>
      <w:r>
        <w:rPr>
          <w:rFonts w:hint="eastAsia" w:ascii="仿宋_GB2312" w:hAnsi="仿宋_GB2312" w:eastAsia="仿宋_GB2312" w:cs="仿宋_GB2312"/>
          <w:sz w:val="32"/>
          <w:lang w:val="en-US" w:eastAsia="zh-CN"/>
        </w:rPr>
        <w:t>1173.30</w:t>
      </w:r>
      <w:r>
        <w:rPr>
          <w:rFonts w:hint="eastAsia" w:ascii="仿宋_GB2312" w:hAnsi="仿宋_GB2312" w:eastAsia="仿宋_GB2312" w:cs="仿宋_GB2312"/>
          <w:sz w:val="32"/>
        </w:rPr>
        <w:t>万元, 占</w:t>
      </w:r>
      <w:r>
        <w:rPr>
          <w:rFonts w:hint="eastAsia" w:ascii="仿宋_GB2312" w:hAnsi="仿宋_GB2312" w:eastAsia="仿宋_GB2312" w:cs="仿宋_GB2312"/>
          <w:sz w:val="32"/>
          <w:lang w:val="en-US" w:eastAsia="zh-CN"/>
        </w:rPr>
        <w:t>91.09%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rPr>
      </w:pPr>
      <w:r>
        <w:rPr>
          <w:rFonts w:hint="eastAsia" w:ascii="楷体" w:hAnsi="楷体" w:eastAsia="楷体" w:cs="楷体"/>
          <w:sz w:val="32"/>
          <w:lang w:val="en-US" w:eastAsia="zh-CN"/>
        </w:rPr>
        <w:t>（三）</w:t>
      </w:r>
      <w:r>
        <w:rPr>
          <w:rFonts w:hint="eastAsia" w:ascii="楷体" w:hAnsi="楷体" w:eastAsia="楷体" w:cs="楷体"/>
          <w:sz w:val="32"/>
        </w:rPr>
        <w:t>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560" w:lineRule="exact"/>
        <w:ind w:firstLine="806" w:firstLineChars="252"/>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2019年度</w:t>
      </w:r>
      <w:r>
        <w:rPr>
          <w:rFonts w:hint="eastAsia" w:ascii="仿宋_GB2312" w:hAnsi="仿宋_GB2312" w:eastAsia="仿宋_GB2312" w:cs="仿宋_GB2312"/>
          <w:sz w:val="32"/>
          <w:lang w:eastAsia="zh-CN"/>
        </w:rPr>
        <w:t>一般公共预算</w:t>
      </w:r>
      <w:r>
        <w:rPr>
          <w:rFonts w:hint="eastAsia" w:ascii="仿宋_GB2312" w:hAnsi="仿宋_GB2312" w:eastAsia="仿宋_GB2312" w:cs="仿宋_GB2312"/>
          <w:sz w:val="32"/>
        </w:rPr>
        <w:t>财政拨款支出年初预算为</w:t>
      </w:r>
      <w:r>
        <w:rPr>
          <w:rFonts w:hint="eastAsia" w:ascii="仿宋_GB2312" w:hAnsi="仿宋_GB2312" w:eastAsia="仿宋_GB2312" w:cs="仿宋_GB2312"/>
          <w:sz w:val="32"/>
          <w:lang w:val="en-US" w:eastAsia="zh-CN"/>
        </w:rPr>
        <w:t>1006.17</w:t>
      </w:r>
      <w:r>
        <w:rPr>
          <w:rFonts w:hint="eastAsia" w:ascii="仿宋_GB2312" w:hAnsi="仿宋_GB2312" w:eastAsia="仿宋_GB2312" w:cs="仿宋_GB2312"/>
          <w:sz w:val="32"/>
        </w:rPr>
        <w:t xml:space="preserve"> 万元</w:t>
      </w:r>
      <w:r>
        <w:rPr>
          <w:rFonts w:hint="eastAsia" w:ascii="仿宋_GB2312" w:hAnsi="仿宋_GB2312" w:eastAsia="仿宋_GB2312" w:cs="仿宋_GB2312"/>
          <w:sz w:val="32"/>
          <w:lang w:eastAsia="zh-CN"/>
        </w:rPr>
        <w:t>（调减后）</w:t>
      </w:r>
      <w:r>
        <w:rPr>
          <w:rFonts w:hint="eastAsia" w:ascii="仿宋_GB2312" w:hAnsi="仿宋_GB2312" w:eastAsia="仿宋_GB2312" w:cs="仿宋_GB2312"/>
          <w:sz w:val="32"/>
        </w:rPr>
        <w:t>，支出决算为</w:t>
      </w:r>
      <w:r>
        <w:rPr>
          <w:rFonts w:hint="eastAsia" w:ascii="仿宋_GB2312" w:hAnsi="仿宋_GB2312" w:eastAsia="仿宋_GB2312" w:cs="仿宋_GB2312"/>
          <w:sz w:val="32"/>
          <w:lang w:val="en-US" w:eastAsia="zh-CN"/>
        </w:rPr>
        <w:t>1288.10</w:t>
      </w:r>
      <w:r>
        <w:rPr>
          <w:rFonts w:hint="eastAsia" w:ascii="仿宋_GB2312" w:hAnsi="仿宋_GB2312" w:eastAsia="仿宋_GB2312" w:cs="仿宋_GB2312"/>
          <w:sz w:val="32"/>
        </w:rPr>
        <w:t>万元，完成年初预算的</w:t>
      </w:r>
      <w:r>
        <w:rPr>
          <w:rFonts w:hint="eastAsia" w:ascii="仿宋_GB2312" w:hAnsi="仿宋_GB2312" w:eastAsia="仿宋_GB2312" w:cs="仿宋_GB2312"/>
          <w:sz w:val="32"/>
          <w:lang w:val="en-US" w:eastAsia="zh-CN"/>
        </w:rPr>
        <w:t>128.02</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具体如表</w:t>
      </w:r>
      <w:r>
        <w:rPr>
          <w:rFonts w:hint="eastAsia" w:ascii="仿宋_GB2312" w:hAnsi="仿宋_GB2312" w:eastAsia="仿宋_GB2312" w:cs="仿宋_GB2312"/>
          <w:sz w:val="32"/>
          <w:lang w:val="en-US" w:eastAsia="zh-CN"/>
        </w:rPr>
        <w:t>1所示</w:t>
      </w:r>
      <w:r>
        <w:rPr>
          <w:rFonts w:hint="eastAsia" w:ascii="仿宋_GB2312" w:hAnsi="仿宋_GB2312" w:eastAsia="仿宋_GB2312" w:cs="仿宋_GB2312"/>
          <w:sz w:val="32"/>
        </w:rPr>
        <w:t>：</w:t>
      </w:r>
    </w:p>
    <w:tbl>
      <w:tblPr>
        <w:tblStyle w:val="6"/>
        <w:tblW w:w="9541"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80"/>
        <w:gridCol w:w="1740"/>
        <w:gridCol w:w="1710"/>
        <w:gridCol w:w="1021"/>
        <w:gridCol w:w="94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序号</w:t>
            </w:r>
          </w:p>
        </w:tc>
        <w:tc>
          <w:tcPr>
            <w:tcW w:w="4830" w:type="dxa"/>
            <w:gridSpan w:val="3"/>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科目名称</w:t>
            </w:r>
          </w:p>
        </w:tc>
        <w:tc>
          <w:tcPr>
            <w:tcW w:w="1021"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年初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预算</w:t>
            </w:r>
          </w:p>
        </w:tc>
        <w:tc>
          <w:tcPr>
            <w:tcW w:w="94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决算</w:t>
            </w:r>
          </w:p>
        </w:tc>
        <w:tc>
          <w:tcPr>
            <w:tcW w:w="199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24"/>
                <w:szCs w:val="24"/>
                <w:vertAlign w:val="baseline"/>
              </w:rPr>
            </w:pPr>
          </w:p>
        </w:tc>
        <w:tc>
          <w:tcPr>
            <w:tcW w:w="138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类</w:t>
            </w:r>
          </w:p>
        </w:tc>
        <w:tc>
          <w:tcPr>
            <w:tcW w:w="174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款</w:t>
            </w:r>
          </w:p>
        </w:tc>
        <w:tc>
          <w:tcPr>
            <w:tcW w:w="171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项</w:t>
            </w:r>
          </w:p>
        </w:tc>
        <w:tc>
          <w:tcPr>
            <w:tcW w:w="1021"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vertAlign w:val="baseline"/>
              </w:rPr>
            </w:pPr>
          </w:p>
        </w:tc>
        <w:tc>
          <w:tcPr>
            <w:tcW w:w="945"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vertAlign w:val="baseline"/>
              </w:rPr>
            </w:pPr>
          </w:p>
        </w:tc>
        <w:tc>
          <w:tcPr>
            <w:tcW w:w="1995"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8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一般公共服务支出</w:t>
            </w:r>
          </w:p>
        </w:tc>
        <w:tc>
          <w:tcPr>
            <w:tcW w:w="17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政府办公厅（室及相关机构事务）</w:t>
            </w:r>
          </w:p>
        </w:tc>
        <w:tc>
          <w:tcPr>
            <w:tcW w:w="17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行政运行</w:t>
            </w:r>
          </w:p>
        </w:tc>
        <w:tc>
          <w:tcPr>
            <w:tcW w:w="10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rPr>
            </w:pPr>
          </w:p>
        </w:tc>
        <w:tc>
          <w:tcPr>
            <w:tcW w:w="9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2.40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日常运转经费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8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vertAlign w:val="baseline"/>
              </w:rPr>
            </w:pPr>
          </w:p>
        </w:tc>
        <w:tc>
          <w:tcPr>
            <w:tcW w:w="17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组织事务</w:t>
            </w:r>
          </w:p>
        </w:tc>
        <w:tc>
          <w:tcPr>
            <w:tcW w:w="17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其他组织事务支出</w:t>
            </w:r>
          </w:p>
        </w:tc>
        <w:tc>
          <w:tcPr>
            <w:tcW w:w="10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rPr>
            </w:pPr>
          </w:p>
        </w:tc>
        <w:tc>
          <w:tcPr>
            <w:tcW w:w="9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人才引进人员生活补贴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38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vertAlign w:val="baseline"/>
              </w:rPr>
            </w:pPr>
          </w:p>
        </w:tc>
        <w:tc>
          <w:tcPr>
            <w:tcW w:w="17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其他一般公共服务支出</w:t>
            </w:r>
          </w:p>
        </w:tc>
        <w:tc>
          <w:tcPr>
            <w:tcW w:w="17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其他一般公共服务支出</w:t>
            </w:r>
          </w:p>
        </w:tc>
        <w:tc>
          <w:tcPr>
            <w:tcW w:w="10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rPr>
            </w:pPr>
          </w:p>
        </w:tc>
        <w:tc>
          <w:tcPr>
            <w:tcW w:w="9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0.80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日常运转经费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3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教育支出</w:t>
            </w:r>
          </w:p>
        </w:tc>
        <w:tc>
          <w:tcPr>
            <w:tcW w:w="17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其他教育支出</w:t>
            </w:r>
          </w:p>
        </w:tc>
        <w:tc>
          <w:tcPr>
            <w:tcW w:w="17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其他教育支出</w:t>
            </w:r>
          </w:p>
        </w:tc>
        <w:tc>
          <w:tcPr>
            <w:tcW w:w="10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rPr>
            </w:pPr>
          </w:p>
        </w:tc>
        <w:tc>
          <w:tcPr>
            <w:tcW w:w="9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3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社会和保障就业支出</w:t>
            </w:r>
          </w:p>
        </w:tc>
        <w:tc>
          <w:tcPr>
            <w:tcW w:w="17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行政事业单位离退休</w:t>
            </w:r>
          </w:p>
        </w:tc>
        <w:tc>
          <w:tcPr>
            <w:tcW w:w="17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归口管理的行政单位离退休</w:t>
            </w:r>
          </w:p>
        </w:tc>
        <w:tc>
          <w:tcPr>
            <w:tcW w:w="10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7.67</w:t>
            </w:r>
          </w:p>
        </w:tc>
        <w:tc>
          <w:tcPr>
            <w:tcW w:w="9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7.70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退休人员费用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38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卫生健康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支出</w:t>
            </w:r>
          </w:p>
        </w:tc>
        <w:tc>
          <w:tcPr>
            <w:tcW w:w="174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行政事业单位医疗</w:t>
            </w:r>
          </w:p>
        </w:tc>
        <w:tc>
          <w:tcPr>
            <w:tcW w:w="17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行政单位医疗</w:t>
            </w:r>
          </w:p>
        </w:tc>
        <w:tc>
          <w:tcPr>
            <w:tcW w:w="10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41.80</w:t>
            </w:r>
          </w:p>
        </w:tc>
        <w:tc>
          <w:tcPr>
            <w:tcW w:w="9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41.80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干职工基本医疗保险、医疗补助等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3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资源勘探信息等支出</w:t>
            </w:r>
          </w:p>
        </w:tc>
        <w:tc>
          <w:tcPr>
            <w:tcW w:w="17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其他资源勘探信息等支出</w:t>
            </w:r>
          </w:p>
        </w:tc>
        <w:tc>
          <w:tcPr>
            <w:tcW w:w="17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其他资源勘探信息等支出</w:t>
            </w:r>
          </w:p>
        </w:tc>
        <w:tc>
          <w:tcPr>
            <w:tcW w:w="10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rPr>
            </w:pPr>
          </w:p>
        </w:tc>
        <w:tc>
          <w:tcPr>
            <w:tcW w:w="9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18.00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拨付安化县应急管理局专项经费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38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住房保障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支出</w:t>
            </w:r>
          </w:p>
        </w:tc>
        <w:tc>
          <w:tcPr>
            <w:tcW w:w="17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住房改革支出</w:t>
            </w:r>
          </w:p>
        </w:tc>
        <w:tc>
          <w:tcPr>
            <w:tcW w:w="17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住房公积金</w:t>
            </w:r>
          </w:p>
        </w:tc>
        <w:tc>
          <w:tcPr>
            <w:tcW w:w="10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41.03</w:t>
            </w:r>
          </w:p>
        </w:tc>
        <w:tc>
          <w:tcPr>
            <w:tcW w:w="9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41.00</w:t>
            </w:r>
          </w:p>
        </w:tc>
        <w:tc>
          <w:tcPr>
            <w:tcW w:w="199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干职工住房公积金缴存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138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灾害防治及应急管理支出</w:t>
            </w:r>
          </w:p>
        </w:tc>
        <w:tc>
          <w:tcPr>
            <w:tcW w:w="174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应急事务管理</w:t>
            </w:r>
          </w:p>
        </w:tc>
        <w:tc>
          <w:tcPr>
            <w:tcW w:w="17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行政运行</w:t>
            </w:r>
          </w:p>
        </w:tc>
        <w:tc>
          <w:tcPr>
            <w:tcW w:w="10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483.93</w:t>
            </w:r>
          </w:p>
        </w:tc>
        <w:tc>
          <w:tcPr>
            <w:tcW w:w="9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550.80</w:t>
            </w:r>
          </w:p>
        </w:tc>
        <w:tc>
          <w:tcPr>
            <w:tcW w:w="199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局机关工资福利支出、日常运行经费、各类专项业务经费、精准扶贫支出等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38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rPr>
            </w:pPr>
          </w:p>
        </w:tc>
        <w:tc>
          <w:tcPr>
            <w:tcW w:w="174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rPr>
            </w:pPr>
          </w:p>
        </w:tc>
        <w:tc>
          <w:tcPr>
            <w:tcW w:w="17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一般行政事务管理</w:t>
            </w:r>
          </w:p>
        </w:tc>
        <w:tc>
          <w:tcPr>
            <w:tcW w:w="10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rPr>
            </w:pPr>
          </w:p>
        </w:tc>
        <w:tc>
          <w:tcPr>
            <w:tcW w:w="9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51.00</w:t>
            </w:r>
          </w:p>
        </w:tc>
        <w:tc>
          <w:tcPr>
            <w:tcW w:w="199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138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rPr>
            </w:pPr>
          </w:p>
        </w:tc>
        <w:tc>
          <w:tcPr>
            <w:tcW w:w="174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rPr>
            </w:pPr>
          </w:p>
        </w:tc>
        <w:tc>
          <w:tcPr>
            <w:tcW w:w="17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安全监管</w:t>
            </w:r>
          </w:p>
        </w:tc>
        <w:tc>
          <w:tcPr>
            <w:tcW w:w="10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309.4</w:t>
            </w:r>
          </w:p>
        </w:tc>
        <w:tc>
          <w:tcPr>
            <w:tcW w:w="9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350.20</w:t>
            </w:r>
          </w:p>
        </w:tc>
        <w:tc>
          <w:tcPr>
            <w:tcW w:w="199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138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rPr>
            </w:pPr>
          </w:p>
        </w:tc>
        <w:tc>
          <w:tcPr>
            <w:tcW w:w="174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rPr>
            </w:pPr>
          </w:p>
        </w:tc>
        <w:tc>
          <w:tcPr>
            <w:tcW w:w="17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其他应急管理支出</w:t>
            </w:r>
          </w:p>
        </w:tc>
        <w:tc>
          <w:tcPr>
            <w:tcW w:w="10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rPr>
            </w:pPr>
          </w:p>
        </w:tc>
        <w:tc>
          <w:tcPr>
            <w:tcW w:w="9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61.60</w:t>
            </w:r>
          </w:p>
        </w:tc>
        <w:tc>
          <w:tcPr>
            <w:tcW w:w="199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138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rPr>
            </w:pPr>
          </w:p>
        </w:tc>
        <w:tc>
          <w:tcPr>
            <w:tcW w:w="174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地震事务</w:t>
            </w:r>
          </w:p>
        </w:tc>
        <w:tc>
          <w:tcPr>
            <w:tcW w:w="17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行政运行</w:t>
            </w:r>
          </w:p>
        </w:tc>
        <w:tc>
          <w:tcPr>
            <w:tcW w:w="10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79.34</w:t>
            </w:r>
          </w:p>
        </w:tc>
        <w:tc>
          <w:tcPr>
            <w:tcW w:w="9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76.50</w:t>
            </w:r>
          </w:p>
        </w:tc>
        <w:tc>
          <w:tcPr>
            <w:tcW w:w="199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地震局工资福利支出、日常运行经费、地震监测等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138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rPr>
            </w:pPr>
          </w:p>
        </w:tc>
        <w:tc>
          <w:tcPr>
            <w:tcW w:w="174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rPr>
            </w:pPr>
          </w:p>
        </w:tc>
        <w:tc>
          <w:tcPr>
            <w:tcW w:w="17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eastAsia="zh-CN"/>
              </w:rPr>
              <w:t>一般行政事务管理</w:t>
            </w:r>
          </w:p>
        </w:tc>
        <w:tc>
          <w:tcPr>
            <w:tcW w:w="10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43</w:t>
            </w:r>
          </w:p>
        </w:tc>
        <w:tc>
          <w:tcPr>
            <w:tcW w:w="9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58.20</w:t>
            </w:r>
          </w:p>
        </w:tc>
        <w:tc>
          <w:tcPr>
            <w:tcW w:w="199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138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rPr>
            </w:pPr>
          </w:p>
        </w:tc>
        <w:tc>
          <w:tcPr>
            <w:tcW w:w="174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rPr>
            </w:pPr>
          </w:p>
        </w:tc>
        <w:tc>
          <w:tcPr>
            <w:tcW w:w="17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地震监测</w:t>
            </w:r>
          </w:p>
        </w:tc>
        <w:tc>
          <w:tcPr>
            <w:tcW w:w="102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rPr>
            </w:pPr>
          </w:p>
        </w:tc>
        <w:tc>
          <w:tcPr>
            <w:tcW w:w="9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25.00</w:t>
            </w:r>
          </w:p>
        </w:tc>
        <w:tc>
          <w:tcPr>
            <w:tcW w:w="199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（表</w:t>
      </w:r>
      <w:r>
        <w:rPr>
          <w:rFonts w:hint="eastAsia" w:ascii="仿宋_GB2312" w:hAnsi="仿宋_GB2312" w:eastAsia="仿宋_GB2312" w:cs="仿宋_GB2312"/>
          <w:sz w:val="32"/>
          <w:lang w:val="en-US" w:eastAsia="zh-CN"/>
        </w:rPr>
        <w:t>1，单位：万元</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lang w:eastAsia="zh-CN"/>
        </w:rPr>
        <w:t>益阳市应急管理局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2019年度一般公共预算财政拨款基本支出</w:t>
      </w:r>
      <w:r>
        <w:rPr>
          <w:rFonts w:hint="eastAsia" w:ascii="仿宋_GB2312" w:hAnsi="仿宋_GB2312" w:eastAsia="仿宋_GB2312" w:cs="仿宋_GB2312"/>
          <w:sz w:val="32"/>
          <w:szCs w:val="32"/>
          <w:lang w:val="en-US" w:eastAsia="zh-CN"/>
        </w:rPr>
        <w:t>870.50</w:t>
      </w:r>
      <w:r>
        <w:rPr>
          <w:rFonts w:hint="eastAsia" w:ascii="仿宋_GB2312" w:hAnsi="仿宋_GB2312" w:eastAsia="仿宋_GB2312" w:cs="仿宋_GB2312"/>
          <w:sz w:val="32"/>
          <w:szCs w:val="32"/>
        </w:rPr>
        <w:t>万元，其中人员经费支出</w:t>
      </w:r>
      <w:r>
        <w:rPr>
          <w:rFonts w:hint="eastAsia" w:ascii="仿宋_GB2312" w:hAnsi="仿宋_GB2312" w:eastAsia="仿宋_GB2312" w:cs="仿宋_GB2312"/>
          <w:sz w:val="32"/>
          <w:szCs w:val="32"/>
          <w:lang w:val="en-US" w:eastAsia="zh-CN"/>
        </w:rPr>
        <w:t>735.30</w:t>
      </w:r>
      <w:r>
        <w:rPr>
          <w:rFonts w:hint="eastAsia" w:ascii="仿宋_GB2312" w:hAnsi="仿宋_GB2312" w:eastAsia="仿宋_GB2312" w:cs="仿宋_GB2312"/>
          <w:sz w:val="32"/>
          <w:szCs w:val="32"/>
        </w:rPr>
        <w:t>万元，主要包括：</w:t>
      </w:r>
      <w:r>
        <w:rPr>
          <w:rFonts w:hint="eastAsia" w:ascii="仿宋_GB2312" w:hAnsi="仿宋" w:eastAsia="仿宋_GB2312"/>
          <w:sz w:val="32"/>
          <w:szCs w:val="32"/>
        </w:rPr>
        <w:t>基本工资、津补贴、奖金、绩效工资、</w:t>
      </w:r>
      <w:r>
        <w:rPr>
          <w:rFonts w:hint="eastAsia" w:ascii="仿宋_GB2312" w:hAnsi="仿宋" w:eastAsia="仿宋_GB2312"/>
          <w:sz w:val="32"/>
          <w:szCs w:val="32"/>
          <w:lang w:eastAsia="zh-CN"/>
        </w:rPr>
        <w:t>职工养老保险、职工基本医疗保险、公务员医疗补助、伙食补助费、</w:t>
      </w:r>
      <w:r>
        <w:rPr>
          <w:rFonts w:hint="eastAsia" w:ascii="仿宋_GB2312" w:hAnsi="仿宋" w:eastAsia="仿宋_GB2312"/>
          <w:sz w:val="32"/>
          <w:szCs w:val="32"/>
        </w:rPr>
        <w:t>住房公积金、</w:t>
      </w:r>
      <w:r>
        <w:rPr>
          <w:rFonts w:hint="eastAsia" w:ascii="仿宋_GB2312" w:hAnsi="仿宋" w:eastAsia="仿宋_GB2312"/>
          <w:sz w:val="32"/>
          <w:szCs w:val="32"/>
          <w:lang w:eastAsia="zh-CN"/>
        </w:rPr>
        <w:t>临聘人员工资保险等</w:t>
      </w:r>
      <w:r>
        <w:rPr>
          <w:rFonts w:hint="eastAsia" w:ascii="仿宋_GB2312" w:hAnsi="仿宋" w:eastAsia="仿宋_GB2312"/>
          <w:sz w:val="32"/>
          <w:szCs w:val="32"/>
        </w:rPr>
        <w:t>、退休费、生活补助等</w:t>
      </w:r>
      <w:r>
        <w:rPr>
          <w:rFonts w:hint="eastAsia" w:ascii="仿宋_GB2312" w:hAnsi="仿宋_GB2312" w:eastAsia="仿宋_GB2312" w:cs="仿宋_GB2312"/>
          <w:sz w:val="32"/>
          <w:szCs w:val="32"/>
        </w:rPr>
        <w:t>；公用经费支出</w:t>
      </w:r>
      <w:r>
        <w:rPr>
          <w:rFonts w:hint="eastAsia" w:ascii="仿宋_GB2312" w:hAnsi="仿宋_GB2312" w:eastAsia="仿宋_GB2312" w:cs="仿宋_GB2312"/>
          <w:sz w:val="32"/>
          <w:szCs w:val="32"/>
          <w:lang w:val="en-US" w:eastAsia="zh-CN"/>
        </w:rPr>
        <w:t>135.20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主要包括：办公费、印刷费</w:t>
      </w:r>
      <w:r>
        <w:rPr>
          <w:rFonts w:hint="eastAsia" w:ascii="仿宋_GB2312" w:hAnsi="仿宋_GB2312" w:eastAsia="仿宋_GB2312" w:cs="仿宋_GB2312"/>
          <w:sz w:val="32"/>
          <w:szCs w:val="32"/>
          <w:lang w:eastAsia="zh-CN"/>
        </w:rPr>
        <w:t>、电费、物业管理费、差旅费、维修（护）费、工会经费、公务交通补贴、其他商品和服务支出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lang w:eastAsia="zh-CN"/>
        </w:rPr>
        <w:t>益阳市应急管理局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spacing w:line="570" w:lineRule="exact"/>
        <w:ind w:firstLine="640" w:firstLineChars="200"/>
        <w:rPr>
          <w:rFonts w:ascii="仿宋" w:hAnsi="仿宋" w:eastAsia="仿宋" w:cs="仿宋"/>
          <w:sz w:val="32"/>
        </w:rPr>
      </w:pPr>
      <w:r>
        <w:rPr>
          <w:rFonts w:hint="eastAsia" w:ascii="仿宋_GB2312" w:hAnsi="仿宋_GB2312" w:eastAsia="仿宋_GB2312" w:cs="仿宋_GB2312"/>
          <w:sz w:val="32"/>
        </w:rPr>
        <w:t>无。益阳市</w:t>
      </w:r>
      <w:r>
        <w:rPr>
          <w:rFonts w:hint="eastAsia" w:ascii="仿宋_GB2312" w:hAnsi="仿宋_GB2312" w:eastAsia="仿宋_GB2312" w:cs="仿宋_GB2312"/>
          <w:sz w:val="32"/>
          <w:lang w:eastAsia="zh-CN"/>
        </w:rPr>
        <w:t>应急</w:t>
      </w:r>
      <w:r>
        <w:rPr>
          <w:rFonts w:hint="eastAsia" w:ascii="仿宋_GB2312" w:hAnsi="仿宋_GB2312" w:eastAsia="仿宋_GB2312" w:cs="仿宋_GB2312"/>
          <w:sz w:val="32"/>
        </w:rPr>
        <w:t>管理局没有政府性基金收入，也没有政府性基金支出。</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lang w:eastAsia="zh-CN"/>
        </w:rPr>
        <w:t>益阳市应急管理局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楷体" w:hAnsi="楷体" w:eastAsia="楷体" w:cs="楷体"/>
          <w:sz w:val="32"/>
        </w:rPr>
      </w:pPr>
      <w:r>
        <w:rPr>
          <w:rFonts w:ascii="楷体" w:hAnsi="楷体" w:eastAsia="楷体" w:cs="楷体"/>
          <w:sz w:val="32"/>
        </w:rPr>
        <w:t>（一）“三公”经费财政拨款支出决算总体情况说明。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 年度“三公”经费财政拨款支出预算为</w:t>
      </w:r>
      <w:r>
        <w:rPr>
          <w:rFonts w:hint="eastAsia" w:ascii="仿宋_GB2312" w:hAnsi="仿宋_GB2312" w:eastAsia="仿宋_GB2312" w:cs="仿宋_GB2312"/>
          <w:sz w:val="32"/>
          <w:szCs w:val="32"/>
          <w:lang w:val="en-US" w:eastAsia="zh-CN"/>
        </w:rPr>
        <w:t>124.50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99.20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79.68</w:t>
      </w:r>
      <w:r>
        <w:rPr>
          <w:rFonts w:hint="eastAsia" w:ascii="仿宋_GB2312" w:hAnsi="仿宋_GB2312" w:eastAsia="仿宋_GB2312" w:cs="仿宋_GB2312"/>
          <w:sz w:val="32"/>
          <w:szCs w:val="32"/>
        </w:rPr>
        <w:t>%，其中：公务用车购置及运行费支出决算为</w:t>
      </w:r>
      <w:r>
        <w:rPr>
          <w:rFonts w:hint="eastAsia" w:ascii="仿宋_GB2312" w:hAnsi="仿宋_GB2312" w:eastAsia="仿宋_GB2312" w:cs="仿宋_GB2312"/>
          <w:sz w:val="32"/>
          <w:szCs w:val="32"/>
          <w:lang w:val="en-US" w:eastAsia="zh-CN"/>
        </w:rPr>
        <w:t>92.70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120.39</w:t>
      </w:r>
      <w:r>
        <w:rPr>
          <w:rFonts w:hint="eastAsia" w:ascii="仿宋_GB2312" w:hAnsi="仿宋_GB2312" w:eastAsia="仿宋_GB2312" w:cs="仿宋_GB2312"/>
          <w:sz w:val="32"/>
          <w:szCs w:val="32"/>
        </w:rPr>
        <w:t>%；公务接待费支出决算为</w:t>
      </w:r>
      <w:r>
        <w:rPr>
          <w:rFonts w:hint="eastAsia" w:ascii="仿宋_GB2312" w:hAnsi="仿宋_GB2312" w:eastAsia="仿宋_GB2312" w:cs="仿宋_GB2312"/>
          <w:sz w:val="32"/>
          <w:szCs w:val="32"/>
          <w:lang w:val="en-US" w:eastAsia="zh-CN"/>
        </w:rPr>
        <w:t>6.50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13.68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因公出国（境）费。2019 年度“三公”经费支出决算数小于预算数的主要原因：</w:t>
      </w:r>
      <w:r>
        <w:rPr>
          <w:rFonts w:hint="eastAsia" w:ascii="仿宋_GB2312" w:hAnsi="仿宋_GB2312" w:eastAsia="仿宋_GB2312" w:cs="仿宋_GB2312"/>
          <w:sz w:val="32"/>
        </w:rPr>
        <w:t>认真执行《益阳市党政机关国内公务接待管理实施细则》和《益阳市市直机关差旅费管理办法》等制度规定，特别是对公务接待和公务用车严格管理，控制范围和开支标准。</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楷体" w:hAnsi="楷体" w:eastAsia="楷体" w:cs="楷体"/>
          <w:sz w:val="32"/>
        </w:rPr>
      </w:pPr>
      <w:r>
        <w:rPr>
          <w:rFonts w:ascii="楷体" w:hAnsi="楷体" w:eastAsia="楷体" w:cs="楷体"/>
          <w:sz w:val="32"/>
        </w:rPr>
        <w:t>（二）“三公”经费财政拨款支出决算具体情况说明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ascii="楷体" w:hAnsi="楷体" w:eastAsia="楷体" w:cs="楷体"/>
          <w:sz w:val="32"/>
        </w:rPr>
        <w:t xml:space="preserve"> </w:t>
      </w:r>
      <w:r>
        <w:rPr>
          <w:rFonts w:hint="eastAsia" w:ascii="仿宋_GB2312" w:hAnsi="仿宋_GB2312" w:eastAsia="仿宋_GB2312" w:cs="仿宋_GB2312"/>
          <w:sz w:val="32"/>
          <w:szCs w:val="32"/>
        </w:rPr>
        <w:t>2019 年度“三公”经费财政拨款支出决算为</w:t>
      </w:r>
      <w:r>
        <w:rPr>
          <w:rFonts w:hint="eastAsia" w:ascii="仿宋_GB2312" w:hAnsi="仿宋_GB2312" w:eastAsia="仿宋_GB2312" w:cs="仿宋_GB2312"/>
          <w:sz w:val="32"/>
          <w:szCs w:val="32"/>
          <w:lang w:val="en-US" w:eastAsia="zh-CN"/>
        </w:rPr>
        <w:t>99.20</w:t>
      </w:r>
      <w:r>
        <w:rPr>
          <w:rFonts w:hint="eastAsia" w:ascii="仿宋_GB2312" w:hAnsi="仿宋_GB2312" w:eastAsia="仿宋_GB2312" w:cs="仿宋_GB2312"/>
          <w:sz w:val="32"/>
          <w:szCs w:val="32"/>
        </w:rPr>
        <w:t>万元万元，其中：公务用车购置及运行费支出决算为</w:t>
      </w:r>
      <w:r>
        <w:rPr>
          <w:rFonts w:hint="eastAsia" w:ascii="仿宋_GB2312" w:hAnsi="仿宋_GB2312" w:eastAsia="仿宋_GB2312" w:cs="仿宋_GB2312"/>
          <w:sz w:val="32"/>
          <w:szCs w:val="32"/>
          <w:lang w:val="en-US" w:eastAsia="zh-CN"/>
        </w:rPr>
        <w:t>92.70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93.45</w:t>
      </w:r>
      <w:r>
        <w:rPr>
          <w:rFonts w:hint="eastAsia" w:ascii="仿宋_GB2312" w:hAnsi="仿宋_GB2312" w:eastAsia="仿宋_GB2312" w:cs="仿宋_GB2312"/>
          <w:sz w:val="32"/>
          <w:szCs w:val="32"/>
        </w:rPr>
        <w:t>%；公务接待费支出决算为</w:t>
      </w:r>
      <w:r>
        <w:rPr>
          <w:rFonts w:hint="eastAsia" w:ascii="仿宋_GB2312" w:hAnsi="仿宋_GB2312" w:eastAsia="仿宋_GB2312" w:cs="仿宋_GB2312"/>
          <w:sz w:val="32"/>
          <w:szCs w:val="32"/>
          <w:lang w:val="en-US" w:eastAsia="zh-CN"/>
        </w:rPr>
        <w:t>6.50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6.55</w:t>
      </w:r>
      <w:r>
        <w:rPr>
          <w:rFonts w:hint="eastAsia" w:ascii="仿宋_GB2312" w:hAnsi="仿宋_GB2312" w:eastAsia="仿宋_GB2312" w:cs="仿宋_GB2312"/>
          <w:sz w:val="32"/>
          <w:szCs w:val="32"/>
        </w:rPr>
        <w:t>%。2019 年度“三公”经费支出决算数大于上年决算数的</w:t>
      </w:r>
      <w:r>
        <w:rPr>
          <w:rFonts w:hint="eastAsia" w:ascii="仿宋_GB2312" w:hAnsi="仿宋_GB2312" w:eastAsia="仿宋_GB2312" w:cs="仿宋_GB2312"/>
          <w:sz w:val="32"/>
          <w:szCs w:val="32"/>
          <w:lang w:eastAsia="zh-CN"/>
        </w:rPr>
        <w:t>主要原因是因机构改革，我单位职能增加，为更好地满足应急工作的需要，经湖南省机关事务管理局批准，局机关和地震局各购置了</w:t>
      </w:r>
      <w:r>
        <w:rPr>
          <w:rFonts w:hint="eastAsia" w:ascii="仿宋_GB2312" w:hAnsi="仿宋_GB2312" w:eastAsia="仿宋_GB2312" w:cs="仿宋_GB2312"/>
          <w:sz w:val="32"/>
          <w:szCs w:val="32"/>
          <w:lang w:val="en-US" w:eastAsia="zh-CN"/>
        </w:rPr>
        <w:t>1台公务用车，共计53.50万元（含车辆购置税）。</w:t>
      </w:r>
    </w:p>
    <w:p>
      <w:pPr>
        <w:keepNext w:val="0"/>
        <w:keepLines w:val="0"/>
        <w:pageBreakBefore w:val="0"/>
        <w:widowControl w:val="0"/>
        <w:kinsoku/>
        <w:wordWrap/>
        <w:overflowPunct/>
        <w:topLinePunct w:val="0"/>
        <w:bidi w:val="0"/>
        <w:snapToGrid/>
        <w:spacing w:line="560" w:lineRule="exact"/>
        <w:ind w:firstLine="640"/>
        <w:jc w:val="left"/>
        <w:textAlignment w:val="auto"/>
        <w:rPr>
          <w:rFonts w:ascii="楷体" w:hAnsi="楷体" w:eastAsia="楷体" w:cs="楷体"/>
          <w:sz w:val="32"/>
        </w:rPr>
      </w:pPr>
      <w:r>
        <w:rPr>
          <w:rFonts w:ascii="楷体" w:hAnsi="楷体" w:eastAsia="楷体" w:cs="楷体"/>
          <w:sz w:val="32"/>
        </w:rPr>
        <w:t>1、因公出国（境）情况说明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因公出国（境）团组数</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个，</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人，</w:t>
      </w:r>
      <w:r>
        <w:rPr>
          <w:rFonts w:hint="eastAsia" w:ascii="仿宋_GB2312" w:hAnsi="仿宋_GB2312" w:eastAsia="仿宋_GB2312" w:cs="仿宋_GB2312"/>
          <w:sz w:val="32"/>
          <w:lang w:eastAsia="zh-CN"/>
        </w:rPr>
        <w:t>无</w:t>
      </w:r>
      <w:r>
        <w:rPr>
          <w:rFonts w:hint="eastAsia" w:ascii="仿宋_GB2312" w:hAnsi="仿宋_GB2312" w:eastAsia="仿宋_GB2312" w:cs="仿宋_GB2312"/>
          <w:sz w:val="32"/>
        </w:rPr>
        <w:t>因公出国（境）的开支内容</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bidi w:val="0"/>
        <w:snapToGrid/>
        <w:spacing w:line="560" w:lineRule="exact"/>
        <w:ind w:firstLine="640"/>
        <w:jc w:val="left"/>
        <w:textAlignment w:val="auto"/>
        <w:rPr>
          <w:rFonts w:ascii="楷体" w:hAnsi="楷体" w:eastAsia="楷体" w:cs="楷体"/>
          <w:sz w:val="32"/>
        </w:rPr>
      </w:pPr>
      <w:r>
        <w:rPr>
          <w:rFonts w:ascii="楷体" w:hAnsi="楷体" w:eastAsia="楷体" w:cs="楷体"/>
          <w:sz w:val="32"/>
        </w:rPr>
        <w:t>2、公务用车购置及运行经费情况说明</w:t>
      </w:r>
    </w:p>
    <w:p>
      <w:pPr>
        <w:keepNext w:val="0"/>
        <w:keepLines w:val="0"/>
        <w:pageBreakBefore w:val="0"/>
        <w:widowControl w:val="0"/>
        <w:kinsoku/>
        <w:wordWrap/>
        <w:overflowPunct/>
        <w:topLinePunct w:val="0"/>
        <w:bidi w:val="0"/>
        <w:snapToGrid/>
        <w:spacing w:line="560" w:lineRule="exact"/>
        <w:ind w:firstLine="64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公务用车购置支出</w:t>
      </w:r>
      <w:r>
        <w:rPr>
          <w:rFonts w:hint="eastAsia" w:ascii="仿宋_GB2312" w:hAnsi="仿宋_GB2312" w:eastAsia="仿宋_GB2312" w:cs="仿宋_GB2312"/>
          <w:sz w:val="32"/>
          <w:lang w:val="en-US" w:eastAsia="zh-CN"/>
        </w:rPr>
        <w:t>53.50</w:t>
      </w:r>
      <w:r>
        <w:rPr>
          <w:rFonts w:hint="eastAsia" w:ascii="仿宋_GB2312" w:hAnsi="仿宋_GB2312" w:eastAsia="仿宋_GB2312" w:cs="仿宋_GB2312"/>
          <w:sz w:val="32"/>
        </w:rPr>
        <w:t>万元，购置数</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台，保有量</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台</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运行经费支出</w:t>
      </w:r>
      <w:r>
        <w:rPr>
          <w:rFonts w:hint="eastAsia" w:ascii="仿宋_GB2312" w:hAnsi="仿宋_GB2312" w:eastAsia="仿宋_GB2312" w:cs="仿宋_GB2312"/>
          <w:sz w:val="32"/>
          <w:lang w:val="en-US" w:eastAsia="zh-CN"/>
        </w:rPr>
        <w:t>39.20</w:t>
      </w:r>
      <w:r>
        <w:rPr>
          <w:rFonts w:hint="eastAsia" w:ascii="仿宋_GB2312" w:hAnsi="仿宋_GB2312" w:eastAsia="仿宋_GB2312" w:cs="仿宋_GB2312"/>
          <w:sz w:val="32"/>
        </w:rPr>
        <w:t>万元，主要用于燃油费、维修费、过桥过路费、保险</w:t>
      </w:r>
      <w:r>
        <w:rPr>
          <w:rFonts w:hint="eastAsia" w:ascii="仿宋_GB2312" w:hAnsi="仿宋_GB2312" w:eastAsia="仿宋_GB2312" w:cs="仿宋_GB2312"/>
          <w:sz w:val="32"/>
          <w:lang w:eastAsia="zh-CN"/>
        </w:rPr>
        <w:t>费</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美容保养费、</w:t>
      </w:r>
      <w:r>
        <w:rPr>
          <w:rFonts w:hint="eastAsia" w:ascii="仿宋_GB2312" w:hAnsi="仿宋_GB2312" w:eastAsia="仿宋_GB2312" w:cs="仿宋_GB2312"/>
          <w:sz w:val="32"/>
        </w:rPr>
        <w:t>司机公里补助等</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bidi w:val="0"/>
        <w:snapToGrid/>
        <w:spacing w:line="560" w:lineRule="exact"/>
        <w:ind w:firstLine="640"/>
        <w:jc w:val="left"/>
        <w:textAlignment w:val="auto"/>
        <w:rPr>
          <w:rFonts w:ascii="楷体" w:hAnsi="楷体" w:eastAsia="楷体" w:cs="楷体"/>
          <w:sz w:val="32"/>
        </w:rPr>
      </w:pPr>
      <w:r>
        <w:rPr>
          <w:rFonts w:ascii="楷体" w:hAnsi="楷体" w:eastAsia="楷体" w:cs="楷体"/>
          <w:sz w:val="32"/>
        </w:rPr>
        <w:t>3、公务接待情况说明</w:t>
      </w:r>
    </w:p>
    <w:p>
      <w:pPr>
        <w:keepNext w:val="0"/>
        <w:keepLines w:val="0"/>
        <w:pageBreakBefore w:val="0"/>
        <w:widowControl w:val="0"/>
        <w:kinsoku/>
        <w:wordWrap/>
        <w:overflowPunct/>
        <w:topLinePunct w:val="0"/>
        <w:bidi w:val="0"/>
        <w:snapToGrid/>
        <w:spacing w:line="560" w:lineRule="exact"/>
        <w:ind w:firstLine="64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公务接待支出</w:t>
      </w:r>
      <w:r>
        <w:rPr>
          <w:rFonts w:hint="eastAsia" w:ascii="仿宋_GB2312" w:hAnsi="仿宋_GB2312" w:eastAsia="仿宋_GB2312" w:cs="仿宋_GB2312"/>
          <w:sz w:val="32"/>
          <w:lang w:val="en-US" w:eastAsia="zh-CN"/>
        </w:rPr>
        <w:t>6.50</w:t>
      </w:r>
      <w:r>
        <w:rPr>
          <w:rFonts w:hint="eastAsia" w:ascii="仿宋_GB2312" w:hAnsi="仿宋_GB2312" w:eastAsia="仿宋_GB2312" w:cs="仿宋_GB2312"/>
          <w:sz w:val="32"/>
        </w:rPr>
        <w:t>万元，国内公务接待</w:t>
      </w:r>
      <w:r>
        <w:rPr>
          <w:rFonts w:hint="eastAsia" w:ascii="仿宋_GB2312" w:hAnsi="仿宋_GB2312" w:eastAsia="仿宋_GB2312" w:cs="仿宋_GB2312"/>
          <w:sz w:val="32"/>
          <w:lang w:val="en-US" w:eastAsia="zh-CN"/>
        </w:rPr>
        <w:t>55</w:t>
      </w:r>
      <w:r>
        <w:rPr>
          <w:rFonts w:hint="eastAsia" w:ascii="仿宋_GB2312" w:hAnsi="仿宋_GB2312" w:eastAsia="仿宋_GB2312" w:cs="仿宋_GB2312"/>
          <w:sz w:val="32"/>
        </w:rPr>
        <w:t>批次，接待</w:t>
      </w:r>
      <w:r>
        <w:rPr>
          <w:rFonts w:hint="eastAsia" w:ascii="仿宋_GB2312" w:hAnsi="仿宋_GB2312" w:eastAsia="仿宋_GB2312" w:cs="仿宋_GB2312"/>
          <w:sz w:val="32"/>
          <w:lang w:val="en-US" w:eastAsia="zh-CN"/>
        </w:rPr>
        <w:t>610</w:t>
      </w:r>
      <w:r>
        <w:rPr>
          <w:rFonts w:hint="eastAsia" w:ascii="仿宋_GB2312" w:hAnsi="仿宋_GB2312" w:eastAsia="仿宋_GB2312" w:cs="仿宋_GB2312"/>
          <w:sz w:val="32"/>
        </w:rPr>
        <w:t>人。接待支出主要用于接待对象工作餐和部分住宿支出</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bidi w:val="0"/>
        <w:snapToGrid/>
        <w:spacing w:line="560" w:lineRule="exact"/>
        <w:ind w:firstLine="640"/>
        <w:jc w:val="left"/>
        <w:textAlignment w:val="auto"/>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一是在编制2019年部门预算的同时</w:t>
      </w:r>
      <w:r>
        <w:rPr>
          <w:rFonts w:hint="eastAsia" w:ascii="仿宋_GB2312" w:hAnsi="仿宋_GB2312" w:eastAsia="仿宋_GB2312" w:cs="仿宋_GB2312"/>
          <w:color w:val="auto"/>
          <w:sz w:val="32"/>
          <w:szCs w:val="32"/>
          <w:lang w:eastAsia="zh-CN"/>
        </w:rPr>
        <w:t>，益阳市应急管理同步</w:t>
      </w:r>
      <w:r>
        <w:rPr>
          <w:rFonts w:hint="eastAsia" w:ascii="仿宋_GB2312" w:hAnsi="仿宋_GB2312" w:eastAsia="仿宋_GB2312" w:cs="仿宋_GB2312"/>
          <w:color w:val="auto"/>
          <w:sz w:val="32"/>
          <w:szCs w:val="32"/>
        </w:rPr>
        <w:t>编制填列了部门整体支出绩效目标表和安全生产专项资金绩效目标表,确定2019年度部门整体绩效目标和安全生产专项资金支出的绩效目标。</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二是为进一步规范财政资金管理，强化绩效和责任意识，切实提高财政资金使用效益，根据《预算法》关于“各级政府、各部门、各单位应当对专项资金情况开展绩效评价”的规定，按照《</w:t>
      </w:r>
      <w:r>
        <w:rPr>
          <w:rFonts w:ascii="仿宋_GB2312" w:hAnsi="宋体" w:eastAsia="仿宋_GB2312" w:cs="仿宋_GB2312"/>
          <w:b w:val="0"/>
          <w:i w:val="0"/>
          <w:caps w:val="0"/>
          <w:color w:val="000000"/>
          <w:spacing w:val="0"/>
          <w:sz w:val="32"/>
          <w:szCs w:val="32"/>
        </w:rPr>
        <w:t>益阳市财政局关于开展</w:t>
      </w:r>
      <w:r>
        <w:rPr>
          <w:rFonts w:hint="eastAsia" w:ascii="仿宋_GB2312" w:hAnsi="宋体" w:eastAsia="仿宋_GB2312" w:cs="仿宋_GB2312"/>
          <w:b w:val="0"/>
          <w:i w:val="0"/>
          <w:caps w:val="0"/>
          <w:color w:val="000000"/>
          <w:spacing w:val="0"/>
          <w:sz w:val="32"/>
          <w:szCs w:val="32"/>
        </w:rPr>
        <w:t>2019年度预算绩效自评工作的通知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益</w:t>
      </w:r>
      <w:r>
        <w:rPr>
          <w:rFonts w:hint="eastAsia" w:ascii="仿宋_GB2312" w:hAnsi="仿宋_GB2312" w:eastAsia="仿宋_GB2312" w:cs="仿宋_GB2312"/>
          <w:color w:val="auto"/>
          <w:sz w:val="32"/>
          <w:szCs w:val="32"/>
        </w:rPr>
        <w:t>财绩〔</w:t>
      </w: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70</w:t>
      </w:r>
      <w:r>
        <w:rPr>
          <w:rFonts w:hint="eastAsia" w:ascii="仿宋_GB2312" w:hAnsi="仿宋_GB2312" w:eastAsia="仿宋_GB2312" w:cs="仿宋_GB2312"/>
          <w:color w:val="auto"/>
          <w:sz w:val="32"/>
          <w:szCs w:val="32"/>
        </w:rPr>
        <w:t>号）文件的要求，</w:t>
      </w:r>
      <w:r>
        <w:rPr>
          <w:rFonts w:hint="eastAsia" w:ascii="仿宋_GB2312" w:hAnsi="仿宋_GB2312" w:eastAsia="仿宋_GB2312" w:cs="仿宋_GB2312"/>
          <w:color w:val="auto"/>
          <w:sz w:val="32"/>
          <w:szCs w:val="32"/>
          <w:lang w:eastAsia="zh-CN"/>
        </w:rPr>
        <w:t>积极</w:t>
      </w:r>
      <w:r>
        <w:rPr>
          <w:rFonts w:hint="eastAsia" w:ascii="仿宋_GB2312" w:hAnsi="仿宋_GB2312" w:eastAsia="仿宋_GB2312" w:cs="仿宋_GB2312"/>
          <w:color w:val="auto"/>
          <w:sz w:val="32"/>
          <w:szCs w:val="32"/>
        </w:rPr>
        <w:t>开展201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eastAsia="zh-CN"/>
        </w:rPr>
        <w:t>重点项目支出绩效自评工作，并在益阳市应急管理局门户网站上进行了公示公开。</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2019年重点项目支出绩效评价报告</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见“第五部分 附件”</w:t>
      </w:r>
    </w:p>
    <w:p>
      <w:pPr>
        <w:keepNext w:val="0"/>
        <w:keepLines w:val="0"/>
        <w:pageBreakBefore w:val="0"/>
        <w:widowControl w:val="0"/>
        <w:kinsoku/>
        <w:wordWrap/>
        <w:overflowPunct/>
        <w:topLinePunct w:val="0"/>
        <w:bidi w:val="0"/>
        <w:snapToGrid/>
        <w:spacing w:line="560" w:lineRule="exact"/>
        <w:ind w:firstLine="640"/>
        <w:jc w:val="left"/>
        <w:textAlignment w:val="auto"/>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楷体" w:hAnsi="楷体" w:eastAsia="楷体" w:cs="楷体"/>
          <w:sz w:val="32"/>
        </w:rPr>
      </w:pPr>
      <w:r>
        <w:rPr>
          <w:rFonts w:ascii="楷体" w:hAnsi="楷体" w:eastAsia="楷体" w:cs="楷体"/>
          <w:sz w:val="32"/>
        </w:rPr>
        <w:t>（一）预决算收支增减变化情况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rPr>
      </w:pPr>
      <w:r>
        <w:rPr>
          <w:rFonts w:hint="eastAsia" w:ascii="仿宋_GB2312" w:hAnsi="仿宋_GB2312" w:eastAsia="仿宋_GB2312" w:cs="仿宋_GB2312"/>
          <w:sz w:val="32"/>
        </w:rPr>
        <w:t>1、预决算收入变化情况。201</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年年初预算收入</w:t>
      </w:r>
      <w:r>
        <w:rPr>
          <w:rFonts w:hint="eastAsia" w:ascii="仿宋_GB2312" w:hAnsi="仿宋_GB2312" w:eastAsia="仿宋_GB2312" w:cs="仿宋_GB2312"/>
          <w:sz w:val="32"/>
          <w:lang w:val="en-US" w:eastAsia="zh-CN"/>
        </w:rPr>
        <w:t>1006.17</w:t>
      </w:r>
      <w:r>
        <w:rPr>
          <w:rFonts w:hint="eastAsia" w:ascii="仿宋_GB2312" w:hAnsi="仿宋_GB2312" w:eastAsia="仿宋_GB2312" w:cs="仿宋_GB2312"/>
          <w:sz w:val="32"/>
        </w:rPr>
        <w:t>万元，决算收入</w:t>
      </w:r>
      <w:r>
        <w:rPr>
          <w:rFonts w:hint="eastAsia" w:ascii="仿宋_GB2312" w:hAnsi="仿宋_GB2312" w:eastAsia="仿宋_GB2312" w:cs="仿宋_GB2312"/>
          <w:sz w:val="32"/>
          <w:lang w:val="en-US" w:eastAsia="zh-CN"/>
        </w:rPr>
        <w:t>1465.80</w:t>
      </w:r>
      <w:r>
        <w:rPr>
          <w:rFonts w:hint="eastAsia" w:ascii="仿宋_GB2312" w:hAnsi="仿宋_GB2312" w:eastAsia="仿宋_GB2312" w:cs="仿宋_GB2312"/>
          <w:sz w:val="32"/>
        </w:rPr>
        <w:t>万元，比预算收入增加了</w:t>
      </w:r>
      <w:r>
        <w:rPr>
          <w:rFonts w:hint="eastAsia" w:ascii="仿宋_GB2312" w:hAnsi="仿宋_GB2312" w:eastAsia="仿宋_GB2312" w:cs="仿宋_GB2312"/>
          <w:sz w:val="32"/>
          <w:lang w:val="en-US" w:eastAsia="zh-CN"/>
        </w:rPr>
        <w:t>459.63</w:t>
      </w:r>
      <w:r>
        <w:rPr>
          <w:rFonts w:hint="eastAsia" w:ascii="仿宋_GB2312" w:hAnsi="仿宋_GB2312" w:eastAsia="仿宋_GB2312" w:cs="仿宋_GB2312"/>
          <w:sz w:val="32"/>
        </w:rPr>
        <w:t>万元，增长</w:t>
      </w:r>
      <w:r>
        <w:rPr>
          <w:rFonts w:hint="eastAsia" w:ascii="仿宋_GB2312" w:hAnsi="仿宋_GB2312" w:eastAsia="仿宋_GB2312" w:cs="仿宋_GB2312"/>
          <w:sz w:val="32"/>
          <w:lang w:val="en-US" w:eastAsia="zh-CN"/>
        </w:rPr>
        <w:t>45.68</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楷体" w:hAnsi="楷体" w:eastAsia="楷体" w:cs="楷体"/>
          <w:sz w:val="32"/>
        </w:rPr>
      </w:pPr>
      <w:r>
        <w:rPr>
          <w:rFonts w:hint="eastAsia" w:ascii="仿宋_GB2312" w:hAnsi="仿宋_GB2312" w:eastAsia="仿宋_GB2312" w:cs="仿宋_GB2312"/>
          <w:sz w:val="32"/>
        </w:rPr>
        <w:t>2、预决算支出变化情况。201</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年年初预算支出</w:t>
      </w:r>
      <w:r>
        <w:rPr>
          <w:rFonts w:hint="eastAsia" w:ascii="仿宋_GB2312" w:hAnsi="仿宋_GB2312" w:eastAsia="仿宋_GB2312" w:cs="仿宋_GB2312"/>
          <w:sz w:val="32"/>
          <w:lang w:val="en-US" w:eastAsia="zh-CN"/>
        </w:rPr>
        <w:t>1006.17</w:t>
      </w:r>
      <w:r>
        <w:rPr>
          <w:rFonts w:hint="eastAsia" w:ascii="仿宋_GB2312" w:hAnsi="仿宋_GB2312" w:eastAsia="仿宋_GB2312" w:cs="仿宋_GB2312"/>
          <w:sz w:val="32"/>
        </w:rPr>
        <w:t>万元，决算支出</w:t>
      </w:r>
      <w:r>
        <w:rPr>
          <w:rFonts w:hint="eastAsia" w:ascii="仿宋_GB2312" w:hAnsi="仿宋_GB2312" w:eastAsia="仿宋_GB2312" w:cs="仿宋_GB2312"/>
          <w:sz w:val="32"/>
          <w:lang w:val="en-US" w:eastAsia="zh-CN"/>
        </w:rPr>
        <w:t>1332.20万元</w:t>
      </w:r>
      <w:r>
        <w:rPr>
          <w:rFonts w:hint="eastAsia" w:ascii="仿宋_GB2312" w:hAnsi="仿宋_GB2312" w:eastAsia="仿宋_GB2312" w:cs="仿宋_GB2312"/>
          <w:sz w:val="32"/>
        </w:rPr>
        <w:t>，比预算支出增加了</w:t>
      </w:r>
      <w:r>
        <w:rPr>
          <w:rFonts w:hint="eastAsia" w:ascii="仿宋_GB2312" w:hAnsi="仿宋_GB2312" w:eastAsia="仿宋_GB2312" w:cs="仿宋_GB2312"/>
          <w:sz w:val="32"/>
          <w:lang w:val="en-US" w:eastAsia="zh-CN"/>
        </w:rPr>
        <w:t>326.03</w:t>
      </w:r>
      <w:r>
        <w:rPr>
          <w:rFonts w:hint="eastAsia" w:ascii="仿宋_GB2312" w:hAnsi="仿宋_GB2312" w:eastAsia="仿宋_GB2312" w:cs="仿宋_GB2312"/>
          <w:sz w:val="32"/>
        </w:rPr>
        <w:t>万元，增长</w:t>
      </w:r>
      <w:r>
        <w:rPr>
          <w:rFonts w:hint="eastAsia" w:ascii="仿宋_GB2312" w:hAnsi="仿宋_GB2312" w:eastAsia="仿宋_GB2312" w:cs="仿宋_GB2312"/>
          <w:sz w:val="32"/>
          <w:lang w:val="en-US" w:eastAsia="zh-CN"/>
        </w:rPr>
        <w:t>32.40</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楷体" w:hAnsi="楷体" w:eastAsia="楷体" w:cs="楷体"/>
          <w:color w:val="FF0000"/>
          <w:sz w:val="32"/>
        </w:rPr>
      </w:pPr>
      <w:r>
        <w:rPr>
          <w:rFonts w:ascii="楷体" w:hAnsi="楷体" w:eastAsia="楷体" w:cs="楷体"/>
          <w:sz w:val="32"/>
        </w:rPr>
        <w:t>（二）机关运行经费支出情况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本部门2019年度机关</w:t>
      </w:r>
      <w:r>
        <w:rPr>
          <w:rFonts w:hint="eastAsia" w:ascii="仿宋_GB2312" w:hAnsi="仿宋_GB2312" w:eastAsia="仿宋_GB2312" w:cs="仿宋_GB2312"/>
          <w:sz w:val="32"/>
        </w:rPr>
        <w:t>运行经费支出</w:t>
      </w:r>
      <w:r>
        <w:rPr>
          <w:rFonts w:hint="eastAsia" w:ascii="仿宋_GB2312" w:hAnsi="仿宋_GB2312" w:eastAsia="仿宋_GB2312" w:cs="仿宋_GB2312"/>
          <w:sz w:val="32"/>
          <w:lang w:val="en-US" w:eastAsia="zh-CN"/>
        </w:rPr>
        <w:t>135.20</w:t>
      </w:r>
      <w:r>
        <w:rPr>
          <w:rFonts w:hint="eastAsia" w:ascii="仿宋_GB2312" w:hAnsi="仿宋_GB2312" w:eastAsia="仿宋_GB2312" w:cs="仿宋_GB2312"/>
          <w:sz w:val="32"/>
        </w:rPr>
        <w:t>万元，较上年</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4.92</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下降</w:t>
      </w:r>
      <w:r>
        <w:rPr>
          <w:rFonts w:hint="eastAsia" w:ascii="仿宋_GB2312" w:hAnsi="仿宋_GB2312" w:eastAsia="仿宋_GB2312" w:cs="仿宋_GB2312"/>
          <w:sz w:val="32"/>
          <w:lang w:val="en-US" w:eastAsia="zh-CN"/>
        </w:rPr>
        <w:t>3.51</w:t>
      </w:r>
      <w:r>
        <w:rPr>
          <w:rFonts w:hint="eastAsia" w:ascii="仿宋_GB2312" w:hAnsi="仿宋_GB2312" w:eastAsia="仿宋_GB2312" w:cs="仿宋_GB2312"/>
          <w:sz w:val="32"/>
        </w:rPr>
        <w:t>%，主要原因是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牢固树立过“紧日子”思想，进一步压减一般性支出。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jc w:val="left"/>
        <w:textAlignment w:val="auto"/>
        <w:rPr>
          <w:rFonts w:ascii="楷体" w:hAnsi="楷体" w:eastAsia="楷体" w:cs="楷体"/>
          <w:sz w:val="32"/>
        </w:rPr>
      </w:pPr>
      <w:r>
        <w:rPr>
          <w:rFonts w:ascii="楷体" w:hAnsi="楷体" w:eastAsia="楷体" w:cs="楷体"/>
          <w:sz w:val="32"/>
        </w:rPr>
        <w:t>政府采购支出情况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FF0000"/>
          <w:sz w:val="32"/>
        </w:rPr>
      </w:pPr>
      <w:r>
        <w:rPr>
          <w:rFonts w:hint="eastAsia" w:ascii="仿宋_GB2312" w:hAnsi="仿宋_GB2312" w:eastAsia="仿宋_GB2312" w:cs="仿宋_GB2312"/>
          <w:sz w:val="32"/>
          <w:szCs w:val="32"/>
        </w:rPr>
        <w:t>本部门2019年度政府采购</w:t>
      </w:r>
      <w:r>
        <w:rPr>
          <w:rFonts w:hint="eastAsia" w:ascii="仿宋_GB2312" w:hAnsi="仿宋_GB2312" w:eastAsia="仿宋_GB2312" w:cs="仿宋_GB2312"/>
          <w:sz w:val="32"/>
          <w:lang w:val="en-US" w:eastAsia="zh-CN"/>
        </w:rPr>
        <w:t>27.60</w:t>
      </w:r>
      <w:r>
        <w:rPr>
          <w:rFonts w:hint="eastAsia" w:ascii="仿宋_GB2312" w:hAnsi="仿宋_GB2312" w:eastAsia="仿宋_GB2312" w:cs="仿宋_GB2312"/>
          <w:sz w:val="32"/>
        </w:rPr>
        <w:t>万元，其中，政府采购货物支出</w:t>
      </w:r>
      <w:r>
        <w:rPr>
          <w:rFonts w:hint="eastAsia" w:ascii="仿宋_GB2312" w:hAnsi="仿宋_GB2312" w:eastAsia="仿宋_GB2312" w:cs="仿宋_GB2312"/>
          <w:sz w:val="32"/>
          <w:lang w:val="en-US" w:eastAsia="zh-CN"/>
        </w:rPr>
        <w:t>9.80</w:t>
      </w:r>
      <w:r>
        <w:rPr>
          <w:rFonts w:hint="eastAsia" w:ascii="仿宋_GB2312" w:hAnsi="仿宋_GB2312" w:eastAsia="仿宋_GB2312" w:cs="仿宋_GB2312"/>
          <w:sz w:val="32"/>
        </w:rPr>
        <w:t>万元，占政府采购支出总额的</w:t>
      </w:r>
      <w:r>
        <w:rPr>
          <w:rFonts w:hint="eastAsia" w:ascii="仿宋_GB2312" w:hAnsi="仿宋_GB2312" w:eastAsia="仿宋_GB2312" w:cs="仿宋_GB2312"/>
          <w:sz w:val="32"/>
          <w:lang w:val="en-US" w:eastAsia="zh-CN"/>
        </w:rPr>
        <w:t>35.51</w:t>
      </w:r>
      <w:r>
        <w:rPr>
          <w:rFonts w:hint="eastAsia" w:ascii="仿宋_GB2312" w:hAnsi="仿宋_GB2312" w:eastAsia="仿宋_GB2312" w:cs="仿宋_GB2312"/>
          <w:sz w:val="32"/>
        </w:rPr>
        <w:t>%，政府采购服务支出</w:t>
      </w:r>
      <w:r>
        <w:rPr>
          <w:rFonts w:hint="eastAsia" w:ascii="仿宋_GB2312" w:hAnsi="仿宋_GB2312" w:eastAsia="仿宋_GB2312" w:cs="仿宋_GB2312"/>
          <w:sz w:val="32"/>
          <w:lang w:val="en-US" w:eastAsia="zh-CN"/>
        </w:rPr>
        <w:t>17.80</w:t>
      </w:r>
      <w:r>
        <w:rPr>
          <w:rFonts w:hint="eastAsia" w:ascii="仿宋_GB2312" w:hAnsi="仿宋_GB2312" w:eastAsia="仿宋_GB2312" w:cs="仿宋_GB2312"/>
          <w:sz w:val="32"/>
        </w:rPr>
        <w:t>万元，占政府采购支出总额的</w:t>
      </w:r>
      <w:r>
        <w:rPr>
          <w:rFonts w:hint="eastAsia" w:ascii="仿宋_GB2312" w:hAnsi="仿宋_GB2312" w:eastAsia="仿宋_GB2312" w:cs="仿宋_GB2312"/>
          <w:sz w:val="32"/>
          <w:lang w:val="en-US" w:eastAsia="zh-CN"/>
        </w:rPr>
        <w:t>64.49</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楷体" w:hAnsi="楷体" w:eastAsia="楷体" w:cs="楷体"/>
          <w:sz w:val="32"/>
        </w:rPr>
      </w:pPr>
      <w:r>
        <w:rPr>
          <w:rFonts w:ascii="楷体" w:hAnsi="楷体" w:eastAsia="楷体" w:cs="楷体"/>
          <w:sz w:val="32"/>
        </w:rPr>
        <w:t>（四）国有资产占用情况。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201</w:t>
      </w:r>
      <w:r>
        <w:rPr>
          <w:rFonts w:hint="eastAsia" w:ascii="仿宋_GB2312" w:eastAsia="仿宋_GB2312"/>
          <w:sz w:val="32"/>
          <w:szCs w:val="32"/>
        </w:rPr>
        <w:t>9年1</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w:t>
      </w:r>
      <w:r>
        <w:rPr>
          <w:rFonts w:hint="eastAsia" w:ascii="仿宋_GB2312" w:eastAsia="仿宋_GB2312"/>
          <w:sz w:val="32"/>
          <w:szCs w:val="32"/>
          <w:lang w:val="en-US" w:eastAsia="zh-CN"/>
        </w:rPr>
        <w:t>5</w:t>
      </w:r>
      <w:r>
        <w:rPr>
          <w:rFonts w:hint="eastAsia" w:ascii="仿宋_GB2312" w:eastAsia="仿宋_GB2312"/>
          <w:sz w:val="32"/>
          <w:szCs w:val="32"/>
        </w:rPr>
        <w:t>辆，其中</w:t>
      </w:r>
      <w:r>
        <w:rPr>
          <w:rFonts w:hint="eastAsia" w:ascii="仿宋_GB2312" w:eastAsia="仿宋_GB2312"/>
          <w:sz w:val="32"/>
          <w:szCs w:val="32"/>
          <w:lang w:eastAsia="zh-CN"/>
        </w:rPr>
        <w:t>一般公务用车</w:t>
      </w:r>
      <w:r>
        <w:rPr>
          <w:rFonts w:hint="eastAsia" w:ascii="仿宋_GB2312" w:eastAsia="仿宋_GB2312"/>
          <w:sz w:val="32"/>
          <w:szCs w:val="32"/>
          <w:lang w:val="en-US" w:eastAsia="zh-CN"/>
        </w:rPr>
        <w:t>1辆、</w:t>
      </w:r>
      <w:r>
        <w:rPr>
          <w:rFonts w:hint="eastAsia" w:ascii="仿宋_GB2312" w:eastAsia="仿宋_GB2312"/>
          <w:sz w:val="32"/>
          <w:szCs w:val="32"/>
        </w:rPr>
        <w:t>机要通信和应急用车1辆、一般执法执勤用车3辆。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eastAsia="仿宋_GB2312"/>
          <w:sz w:val="32"/>
          <w:szCs w:val="32"/>
        </w:rPr>
      </w:pPr>
    </w:p>
    <w:p>
      <w:pPr>
        <w:ind w:firstLine="640"/>
        <w:jc w:val="left"/>
        <w:rPr>
          <w:rFonts w:ascii="楷体" w:hAnsi="楷体" w:eastAsia="楷体" w:cs="楷体"/>
          <w:sz w:val="32"/>
        </w:rPr>
      </w:pPr>
    </w:p>
    <w:p>
      <w:pPr>
        <w:ind w:firstLine="640"/>
        <w:jc w:val="left"/>
        <w:rPr>
          <w:rFonts w:ascii="楷体" w:hAnsi="楷体" w:eastAsia="楷体" w:cs="楷体"/>
          <w:sz w:val="32"/>
        </w:rPr>
      </w:pPr>
    </w:p>
    <w:p>
      <w:pPr>
        <w:ind w:firstLine="640"/>
        <w:jc w:val="left"/>
        <w:rPr>
          <w:rFonts w:ascii="楷体" w:hAnsi="楷体" w:eastAsia="楷体" w:cs="楷体"/>
          <w:sz w:val="32"/>
        </w:rPr>
      </w:pPr>
    </w:p>
    <w:p>
      <w:pPr>
        <w:ind w:firstLine="640"/>
        <w:jc w:val="left"/>
        <w:rPr>
          <w:rFonts w:ascii="楷体" w:hAnsi="楷体" w:eastAsia="楷体" w:cs="楷体"/>
          <w:sz w:val="32"/>
        </w:rPr>
      </w:pPr>
    </w:p>
    <w:p>
      <w:pPr>
        <w:jc w:val="left"/>
        <w:rPr>
          <w:rFonts w:ascii="楷体" w:hAnsi="楷体" w:eastAsia="楷体" w:cs="楷体"/>
          <w:sz w:val="32"/>
        </w:rPr>
      </w:pPr>
    </w:p>
    <w:p>
      <w:pPr>
        <w:jc w:val="left"/>
        <w:rPr>
          <w:rFonts w:ascii="楷体" w:hAnsi="楷体" w:eastAsia="楷体" w:cs="楷体"/>
          <w:sz w:val="32"/>
        </w:rPr>
      </w:pPr>
    </w:p>
    <w:p>
      <w:pPr>
        <w:jc w:val="center"/>
        <w:rPr>
          <w:rFonts w:hint="eastAsia" w:ascii="宋体" w:hAnsi="宋体" w:eastAsia="宋体" w:cs="宋体"/>
          <w:sz w:val="44"/>
          <w:lang w:eastAsia="zh-CN"/>
        </w:rPr>
      </w:pPr>
    </w:p>
    <w:p>
      <w:pPr>
        <w:jc w:val="both"/>
        <w:rPr>
          <w:rFonts w:ascii="宋体" w:hAnsi="宋体" w:eastAsia="宋体" w:cs="宋体"/>
          <w:sz w:val="44"/>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ascii="宋体" w:hAnsi="宋体" w:eastAsia="宋体" w:cs="宋体"/>
          <w:sz w:val="44"/>
        </w:rPr>
      </w:pPr>
      <w:r>
        <w:rPr>
          <w:rFonts w:hint="eastAsia" w:ascii="宋体" w:hAnsi="宋体" w:eastAsia="宋体" w:cs="宋体"/>
          <w:sz w:val="44"/>
        </w:rPr>
        <w:t>第五部分   附件</w:t>
      </w:r>
    </w:p>
    <w:p>
      <w:pPr>
        <w:ind w:firstLine="640"/>
        <w:jc w:val="left"/>
        <w:rPr>
          <w:rFonts w:ascii="仿宋" w:hAnsi="仿宋" w:eastAsia="仿宋" w:cs="仿宋"/>
          <w:sz w:val="32"/>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Times New Roman" w:eastAsia="方正小标宋_GBK" w:cs="Times New Roman"/>
          <w:kern w:val="2"/>
          <w:sz w:val="32"/>
          <w:szCs w:val="32"/>
        </w:rPr>
      </w:pPr>
      <w:r>
        <w:rPr>
          <w:rFonts w:hint="eastAsia" w:ascii="方正小标宋_GBK" w:hAnsi="方正小标宋_GBK" w:eastAsia="方正小标宋_GBK" w:cs="方正小标宋_GBK"/>
          <w:kern w:val="2"/>
          <w:sz w:val="32"/>
          <w:szCs w:val="32"/>
          <w:lang w:val="en-US" w:eastAsia="zh-CN" w:bidi="ar"/>
        </w:rPr>
        <w:t>益阳市应急管理局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Times New Roman" w:eastAsia="方正小标宋_GBK" w:cs="Times New Roman"/>
          <w:kern w:val="2"/>
          <w:sz w:val="32"/>
          <w:szCs w:val="32"/>
        </w:rPr>
      </w:pPr>
      <w:r>
        <w:rPr>
          <w:rFonts w:hint="eastAsia" w:ascii="方正小标宋_GBK" w:hAnsi="Times New Roman" w:eastAsia="方正小标宋_GBK" w:cs="Times New Roman"/>
          <w:kern w:val="2"/>
          <w:sz w:val="32"/>
          <w:szCs w:val="32"/>
          <w:lang w:val="en-US" w:eastAsia="zh-CN" w:bidi="ar"/>
        </w:rPr>
        <w:t>2019年度重点</w:t>
      </w:r>
      <w:r>
        <w:rPr>
          <w:rFonts w:hint="eastAsia" w:ascii="方正小标宋_GBK" w:hAnsi="方正小标宋_GBK" w:eastAsia="方正小标宋_GBK" w:cs="方正小标宋_GBK"/>
          <w:kern w:val="2"/>
          <w:sz w:val="32"/>
          <w:szCs w:val="32"/>
          <w:lang w:val="en-US" w:eastAsia="zh-CN" w:bidi="ar"/>
        </w:rPr>
        <w:t>项目支出绩效评价报告</w:t>
      </w:r>
    </w:p>
    <w:p>
      <w:pPr>
        <w:keepNext w:val="0"/>
        <w:keepLines w:val="0"/>
        <w:widowControl w:val="0"/>
        <w:suppressLineNumbers w:val="0"/>
        <w:spacing w:before="0" w:beforeAutospacing="0" w:after="0" w:afterAutospacing="0" w:line="570" w:lineRule="exact"/>
        <w:ind w:left="0" w:right="0" w:firstLine="640" w:firstLineChars="200"/>
        <w:jc w:val="both"/>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570" w:lineRule="exact"/>
        <w:ind w:left="0" w:right="0" w:firstLine="640" w:firstLineChars="200"/>
        <w:jc w:val="both"/>
        <w:rPr>
          <w:rFonts w:hint="eastAsia" w:ascii="仿宋_GB2312"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根据《益阳市财政局关于开展</w:t>
      </w:r>
      <w:r>
        <w:rPr>
          <w:rFonts w:hint="eastAsia" w:ascii="仿宋_GB2312" w:hAnsi="Times New Roman" w:eastAsia="仿宋_GB2312" w:cs="Times New Roman"/>
          <w:color w:val="000000"/>
          <w:kern w:val="2"/>
          <w:sz w:val="32"/>
          <w:szCs w:val="32"/>
          <w:lang w:val="en-US" w:eastAsia="zh-CN" w:bidi="ar"/>
        </w:rPr>
        <w:t>2019</w:t>
      </w:r>
      <w:r>
        <w:rPr>
          <w:rFonts w:hint="eastAsia" w:ascii="仿宋_GB2312" w:hAnsi="Times New Roman" w:eastAsia="仿宋_GB2312" w:cs="仿宋_GB2312"/>
          <w:color w:val="000000"/>
          <w:kern w:val="2"/>
          <w:sz w:val="32"/>
          <w:szCs w:val="32"/>
          <w:lang w:val="en-US" w:eastAsia="zh-CN" w:bidi="ar"/>
        </w:rPr>
        <w:t>年度预算绩效自评工作的通知》（益财绩〔</w:t>
      </w:r>
      <w:r>
        <w:rPr>
          <w:rFonts w:hint="eastAsia" w:ascii="仿宋_GB2312" w:hAnsi="Times New Roman" w:eastAsia="仿宋_GB2312" w:cs="Times New Roman"/>
          <w:color w:val="000000"/>
          <w:kern w:val="2"/>
          <w:sz w:val="32"/>
          <w:szCs w:val="32"/>
          <w:lang w:val="en-US" w:eastAsia="zh-CN" w:bidi="ar"/>
        </w:rPr>
        <w:t>2020</w:t>
      </w:r>
      <w:r>
        <w:rPr>
          <w:rFonts w:hint="eastAsia" w:ascii="仿宋_GB2312" w:hAnsi="Times New Roman" w:eastAsia="仿宋_GB2312" w:cs="仿宋_GB2312"/>
          <w:color w:val="000000"/>
          <w:kern w:val="2"/>
          <w:sz w:val="32"/>
          <w:szCs w:val="32"/>
          <w:lang w:val="en-US" w:eastAsia="zh-CN" w:bidi="ar"/>
        </w:rPr>
        <w:t>〕</w:t>
      </w:r>
      <w:r>
        <w:rPr>
          <w:rFonts w:hint="eastAsia" w:ascii="仿宋_GB2312" w:hAnsi="Times New Roman" w:eastAsia="仿宋_GB2312" w:cs="Times New Roman"/>
          <w:color w:val="000000"/>
          <w:kern w:val="2"/>
          <w:sz w:val="32"/>
          <w:szCs w:val="32"/>
          <w:lang w:val="en-US" w:eastAsia="zh-CN" w:bidi="ar"/>
        </w:rPr>
        <w:t>70</w:t>
      </w:r>
      <w:r>
        <w:rPr>
          <w:rFonts w:hint="eastAsia" w:ascii="仿宋_GB2312" w:hAnsi="Times New Roman" w:eastAsia="仿宋_GB2312" w:cs="仿宋_GB2312"/>
          <w:color w:val="000000"/>
          <w:kern w:val="2"/>
          <w:sz w:val="32"/>
          <w:szCs w:val="32"/>
          <w:lang w:val="en-US" w:eastAsia="zh-CN" w:bidi="ar"/>
        </w:rPr>
        <w:t>号），为进一步规范项目支出管理，不断强化预算绩效理念，切实提高资金使用效益，我局对</w:t>
      </w:r>
      <w:r>
        <w:rPr>
          <w:rFonts w:hint="eastAsia" w:ascii="仿宋_GB2312" w:hAnsi="Times New Roman" w:eastAsia="仿宋_GB2312" w:cs="Times New Roman"/>
          <w:color w:val="000000"/>
          <w:kern w:val="2"/>
          <w:sz w:val="32"/>
          <w:szCs w:val="32"/>
          <w:lang w:val="en-US" w:eastAsia="zh-CN" w:bidi="ar"/>
        </w:rPr>
        <w:t>2019年度重点</w:t>
      </w:r>
      <w:r>
        <w:rPr>
          <w:rFonts w:hint="eastAsia" w:ascii="仿宋_GB2312" w:hAnsi="Times New Roman" w:eastAsia="仿宋_GB2312" w:cs="仿宋_GB2312"/>
          <w:color w:val="000000"/>
          <w:kern w:val="2"/>
          <w:sz w:val="32"/>
          <w:szCs w:val="32"/>
          <w:lang w:val="en-US" w:eastAsia="zh-CN" w:bidi="ar"/>
        </w:rPr>
        <w:t>项目支出资金使用情况进行了绩效自评，形成本评价报告。</w:t>
      </w:r>
    </w:p>
    <w:p>
      <w:pPr>
        <w:keepNext w:val="0"/>
        <w:keepLines w:val="0"/>
        <w:widowControl w:val="0"/>
        <w:suppressLineNumbers w:val="0"/>
        <w:topLinePunct/>
        <w:spacing w:before="0" w:beforeAutospacing="0" w:after="0" w:afterAutospacing="0" w:line="600" w:lineRule="exact"/>
        <w:ind w:left="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一、项目基本情况</w:t>
      </w:r>
    </w:p>
    <w:p>
      <w:pPr>
        <w:keepNext w:val="0"/>
        <w:keepLines w:val="0"/>
        <w:widowControl w:val="0"/>
        <w:suppressLineNumbers w:val="0"/>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为深入贯彻落实党中央、国务院关于加强安全生产工作的决策部署，为建设富饶开放创新绿色幸福新益阳提供安全保障，根据《安全生产法》，湖南省委、湖南省人民政府《关于进一步加强安全生产工作的决定》（湘发〔2009〕19号），《湖南省安全生产专项资金管理办法》（湘财企〔2015〕14号）及《益阳市安全生产专项资金使用管理办法》（益财企〔2016〕156号）等文件精神，益阳市设立安全生产专项资金。该专项资金是由市财政预算安排的,专项用于全市安全生产工作的重点项目资金。2019年，因机构改革职能调整，该专项资金统筹用于全市安全生产、综合防灾减灾及应急救援等方面的支出。</w:t>
      </w:r>
    </w:p>
    <w:p>
      <w:pPr>
        <w:keepNext w:val="0"/>
        <w:keepLines w:val="0"/>
        <w:widowControl w:val="0"/>
        <w:suppressLineNumbers w:val="0"/>
        <w:topLinePunct/>
        <w:spacing w:before="0" w:beforeAutospacing="0" w:after="0" w:afterAutospacing="0" w:line="600" w:lineRule="exact"/>
        <w:ind w:left="0" w:right="0" w:firstLine="640" w:firstLineChars="200"/>
        <w:jc w:val="both"/>
        <w:rPr>
          <w:rFonts w:hint="eastAsia" w:ascii="楷体" w:hAnsi="楷体" w:eastAsia="楷体" w:cs="楷体"/>
          <w:kern w:val="2"/>
          <w:sz w:val="32"/>
          <w:szCs w:val="32"/>
        </w:rPr>
      </w:pPr>
      <w:r>
        <w:rPr>
          <w:rFonts w:hint="eastAsia" w:ascii="仿宋_GB2312" w:hAnsi="Times New Roman" w:eastAsia="仿宋_GB2312" w:cs="仿宋_GB2312"/>
          <w:color w:val="000000"/>
          <w:kern w:val="2"/>
          <w:sz w:val="32"/>
          <w:szCs w:val="32"/>
          <w:lang w:val="en-US" w:eastAsia="zh-CN" w:bidi="ar"/>
        </w:rPr>
        <w:t>2019年该专项资金年初预算安排200万元，因财政统一预算调减15%，资金实际到位170万元，到位率85%。</w:t>
      </w:r>
    </w:p>
    <w:p>
      <w:pPr>
        <w:keepNext w:val="0"/>
        <w:keepLines w:val="0"/>
        <w:widowControl w:val="0"/>
        <w:suppressLineNumbers w:val="0"/>
        <w:topLinePunct/>
        <w:spacing w:before="0" w:beforeAutospacing="0" w:after="0" w:afterAutospacing="0" w:line="600" w:lineRule="exact"/>
        <w:ind w:left="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二、绩效评价工作情况</w:t>
      </w:r>
    </w:p>
    <w:p>
      <w:pPr>
        <w:keepNext w:val="0"/>
        <w:keepLines w:val="0"/>
        <w:widowControl w:val="0"/>
        <w:suppressLineNumbers w:val="0"/>
        <w:topLinePunct/>
        <w:spacing w:before="0" w:beforeAutospacing="0" w:after="0" w:afterAutospacing="0" w:line="600" w:lineRule="exact"/>
        <w:ind w:left="0" w:right="0" w:firstLine="640" w:firstLineChars="200"/>
        <w:jc w:val="both"/>
        <w:rPr>
          <w:rFonts w:hint="eastAsia" w:ascii="楷体" w:hAnsi="楷体" w:eastAsia="楷体" w:cs="楷体"/>
          <w:kern w:val="2"/>
          <w:sz w:val="32"/>
          <w:szCs w:val="32"/>
        </w:rPr>
      </w:pPr>
      <w:r>
        <w:rPr>
          <w:rFonts w:hint="eastAsia" w:ascii="楷体" w:hAnsi="楷体" w:eastAsia="楷体" w:cs="楷体"/>
          <w:kern w:val="2"/>
          <w:sz w:val="32"/>
          <w:szCs w:val="32"/>
          <w:lang w:val="en-US" w:eastAsia="zh-CN" w:bidi="ar"/>
        </w:rPr>
        <w:t>（一）绩效评价目的</w:t>
      </w:r>
    </w:p>
    <w:p>
      <w:pPr>
        <w:keepNext w:val="0"/>
        <w:keepLines w:val="0"/>
        <w:widowControl w:val="0"/>
        <w:suppressLineNumbers w:val="0"/>
        <w:spacing w:before="0" w:beforeAutospacing="0" w:after="0" w:afterAutospacing="0" w:line="570" w:lineRule="exact"/>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color w:val="000000"/>
          <w:kern w:val="2"/>
          <w:sz w:val="32"/>
          <w:szCs w:val="32"/>
          <w:lang w:val="en-US" w:eastAsia="zh-CN" w:bidi="ar"/>
        </w:rPr>
        <w:t>通过绩效评价，了解资金使用情况及取得的阶段性成果，总结项目资金管理的经验，及时发现项目资金管理中存在的问题，为规范支出管理，提高专项资金的使用效益，健全和完善项目支出和资金使用，完善预算编制、加强绩效目标管理和绩效考核等工作提供重要的参考依据。</w:t>
      </w:r>
    </w:p>
    <w:p>
      <w:pPr>
        <w:keepNext w:val="0"/>
        <w:keepLines w:val="0"/>
        <w:widowControl w:val="0"/>
        <w:suppressLineNumbers w:val="0"/>
        <w:topLinePunct/>
        <w:spacing w:before="0" w:beforeAutospacing="0" w:after="0" w:afterAutospacing="0" w:line="600" w:lineRule="exact"/>
        <w:ind w:left="0" w:right="0" w:firstLine="640" w:firstLineChars="200"/>
        <w:jc w:val="both"/>
        <w:rPr>
          <w:rFonts w:hint="eastAsia" w:ascii="楷体" w:hAnsi="楷体" w:eastAsia="楷体" w:cs="楷体"/>
          <w:kern w:val="2"/>
          <w:sz w:val="32"/>
          <w:szCs w:val="32"/>
        </w:rPr>
      </w:pPr>
      <w:r>
        <w:rPr>
          <w:rFonts w:hint="eastAsia" w:ascii="楷体" w:hAnsi="楷体" w:eastAsia="楷体" w:cs="楷体"/>
          <w:kern w:val="2"/>
          <w:sz w:val="32"/>
          <w:szCs w:val="32"/>
          <w:lang w:val="en-US" w:eastAsia="zh-CN" w:bidi="ar"/>
        </w:rPr>
        <w:t>（二）项目资金实际使用等情况</w:t>
      </w:r>
    </w:p>
    <w:p>
      <w:pPr>
        <w:keepNext w:val="0"/>
        <w:keepLines w:val="0"/>
        <w:widowControl w:val="0"/>
        <w:suppressLineNumbers w:val="0"/>
        <w:topLinePunct/>
        <w:spacing w:before="0" w:beforeAutospacing="0" w:after="0" w:afterAutospacing="0" w:line="600" w:lineRule="exact"/>
        <w:ind w:left="0" w:right="0" w:firstLine="643"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b/>
          <w:kern w:val="2"/>
          <w:sz w:val="32"/>
          <w:szCs w:val="32"/>
          <w:lang w:val="en-US" w:eastAsia="zh-CN" w:bidi="ar"/>
        </w:rPr>
        <w:t>1、资金来源与到位情况。</w:t>
      </w:r>
      <w:r>
        <w:rPr>
          <w:rFonts w:hint="eastAsia" w:ascii="仿宋_GB2312" w:hAnsi="Times New Roman" w:eastAsia="仿宋_GB2312" w:cs="仿宋_GB2312"/>
          <w:kern w:val="2"/>
          <w:sz w:val="32"/>
          <w:szCs w:val="32"/>
          <w:lang w:val="en-US" w:eastAsia="zh-CN" w:bidi="ar"/>
        </w:rPr>
        <w:t>截至</w:t>
      </w:r>
      <w:r>
        <w:rPr>
          <w:rFonts w:hint="eastAsia" w:ascii="仿宋_GB2312" w:hAnsi="Times New Roman" w:eastAsia="仿宋_GB2312" w:cs="Times New Roman"/>
          <w:kern w:val="2"/>
          <w:sz w:val="32"/>
          <w:szCs w:val="32"/>
          <w:lang w:val="en-US" w:eastAsia="zh-CN" w:bidi="ar"/>
        </w:rPr>
        <w:t>2019年12月31日,益阳市财政局批复下达2019年度</w:t>
      </w:r>
      <w:r>
        <w:rPr>
          <w:rFonts w:hint="eastAsia" w:ascii="仿宋_GB2312" w:hAnsi="Times New Roman" w:eastAsia="仿宋_GB2312" w:cs="仿宋_GB2312"/>
          <w:color w:val="000000"/>
          <w:kern w:val="2"/>
          <w:sz w:val="32"/>
          <w:szCs w:val="32"/>
          <w:lang w:val="en-US" w:eastAsia="zh-CN" w:bidi="ar"/>
        </w:rPr>
        <w:t>安全生产预防及应急专项</w:t>
      </w:r>
      <w:r>
        <w:rPr>
          <w:rFonts w:hint="eastAsia" w:ascii="仿宋_GB2312" w:hAnsi="Times New Roman" w:eastAsia="仿宋_GB2312" w:cs="仿宋_GB2312"/>
          <w:kern w:val="2"/>
          <w:sz w:val="32"/>
          <w:szCs w:val="32"/>
          <w:lang w:val="en-US" w:eastAsia="zh-CN" w:bidi="ar"/>
        </w:rPr>
        <w:t>资金共</w:t>
      </w:r>
      <w:r>
        <w:rPr>
          <w:rFonts w:hint="eastAsia" w:ascii="仿宋_GB2312" w:hAnsi="Times New Roman" w:eastAsia="仿宋_GB2312" w:cs="Times New Roman"/>
          <w:kern w:val="2"/>
          <w:sz w:val="32"/>
          <w:szCs w:val="32"/>
          <w:lang w:val="en-US" w:eastAsia="zh-CN" w:bidi="ar"/>
        </w:rPr>
        <w:t>170万元,实际到位170万元 ,资金分配明细如表1:</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24"/>
        <w:gridCol w:w="1424"/>
        <w:gridCol w:w="1425"/>
        <w:gridCol w:w="1425"/>
        <w:gridCol w:w="1425"/>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eastAsia"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bidi="ar"/>
              </w:rPr>
              <w:t>区县（市）</w:t>
            </w:r>
          </w:p>
        </w:tc>
        <w:tc>
          <w:tcPr>
            <w:tcW w:w="14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eastAsia"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bidi="ar"/>
              </w:rPr>
              <w:t>金额</w:t>
            </w:r>
          </w:p>
          <w:p>
            <w:pPr>
              <w:keepNext w:val="0"/>
              <w:keepLines w:val="0"/>
              <w:widowControl w:val="0"/>
              <w:suppressLineNumbers w:val="0"/>
              <w:topLinePunct/>
              <w:spacing w:before="0" w:beforeAutospacing="0" w:after="0" w:afterAutospacing="0" w:line="600" w:lineRule="exact"/>
              <w:ind w:left="0" w:right="0"/>
              <w:jc w:val="center"/>
              <w:rPr>
                <w:rFonts w:hint="eastAsia"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bidi="ar"/>
              </w:rPr>
              <w:t>（万元）</w:t>
            </w:r>
          </w:p>
        </w:tc>
        <w:tc>
          <w:tcPr>
            <w:tcW w:w="14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lang w:val="en-US" w:eastAsia="zh-CN" w:bidi="ar"/>
              </w:rPr>
              <w:t>到位率</w:t>
            </w:r>
          </w:p>
        </w:tc>
        <w:tc>
          <w:tcPr>
            <w:tcW w:w="14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bidi="ar"/>
              </w:rPr>
              <w:t>区县（市）</w:t>
            </w:r>
          </w:p>
        </w:tc>
        <w:tc>
          <w:tcPr>
            <w:tcW w:w="14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eastAsia"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bidi="ar"/>
              </w:rPr>
              <w:t>金额</w:t>
            </w:r>
          </w:p>
          <w:p>
            <w:pPr>
              <w:keepNext w:val="0"/>
              <w:keepLines w:val="0"/>
              <w:widowControl w:val="0"/>
              <w:suppressLineNumbers w:val="0"/>
              <w:topLinePunct/>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bidi="ar"/>
              </w:rPr>
              <w:t>（万元）</w:t>
            </w:r>
          </w:p>
        </w:tc>
        <w:tc>
          <w:tcPr>
            <w:tcW w:w="14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eastAsia" w:ascii="仿宋_GB2312" w:hAnsi="Times New Roman" w:eastAsia="仿宋_GB2312" w:cs="Times New Roman"/>
                <w:kern w:val="2"/>
                <w:sz w:val="28"/>
                <w:szCs w:val="28"/>
              </w:rPr>
            </w:pPr>
            <w:r>
              <w:rPr>
                <w:rFonts w:hint="eastAsia" w:ascii="Times New Roman" w:hAnsi="Times New Roman" w:eastAsia="仿宋_GB2312" w:cs="Times New Roman"/>
                <w:kern w:val="2"/>
                <w:sz w:val="28"/>
                <w:szCs w:val="28"/>
                <w:lang w:val="en-US" w:eastAsia="zh-CN" w:bidi="ar"/>
              </w:rPr>
              <w:t>到位率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eastAsia"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bidi="ar"/>
              </w:rPr>
              <w:t>市本级</w:t>
            </w:r>
          </w:p>
        </w:tc>
        <w:tc>
          <w:tcPr>
            <w:tcW w:w="14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eastAsia"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bidi="ar"/>
              </w:rPr>
              <w:t>95</w:t>
            </w:r>
          </w:p>
        </w:tc>
        <w:tc>
          <w:tcPr>
            <w:tcW w:w="14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100%</w:t>
            </w:r>
          </w:p>
        </w:tc>
        <w:tc>
          <w:tcPr>
            <w:tcW w:w="14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bidi="ar"/>
              </w:rPr>
              <w:t>沅江市</w:t>
            </w:r>
          </w:p>
        </w:tc>
        <w:tc>
          <w:tcPr>
            <w:tcW w:w="14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bidi="ar"/>
              </w:rPr>
              <w:t>12</w:t>
            </w:r>
          </w:p>
        </w:tc>
        <w:tc>
          <w:tcPr>
            <w:tcW w:w="14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eastAsia"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bidi="ar"/>
              </w:rPr>
              <w:t>赫山区</w:t>
            </w:r>
          </w:p>
        </w:tc>
        <w:tc>
          <w:tcPr>
            <w:tcW w:w="14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eastAsia"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bidi="ar"/>
              </w:rPr>
              <w:t>23</w:t>
            </w:r>
          </w:p>
        </w:tc>
        <w:tc>
          <w:tcPr>
            <w:tcW w:w="14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100%</w:t>
            </w:r>
          </w:p>
        </w:tc>
        <w:tc>
          <w:tcPr>
            <w:tcW w:w="14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bidi="ar"/>
              </w:rPr>
              <w:t>南县</w:t>
            </w:r>
          </w:p>
        </w:tc>
        <w:tc>
          <w:tcPr>
            <w:tcW w:w="14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bidi="ar"/>
              </w:rPr>
              <w:t>6</w:t>
            </w:r>
          </w:p>
        </w:tc>
        <w:tc>
          <w:tcPr>
            <w:tcW w:w="14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eastAsia"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bidi="ar"/>
              </w:rPr>
              <w:t>资阳区</w:t>
            </w:r>
          </w:p>
        </w:tc>
        <w:tc>
          <w:tcPr>
            <w:tcW w:w="14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eastAsia"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bidi="ar"/>
              </w:rPr>
              <w:t>13</w:t>
            </w:r>
          </w:p>
        </w:tc>
        <w:tc>
          <w:tcPr>
            <w:tcW w:w="14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100%</w:t>
            </w:r>
          </w:p>
        </w:tc>
        <w:tc>
          <w:tcPr>
            <w:tcW w:w="14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bidi="ar"/>
              </w:rPr>
              <w:t>桃江县</w:t>
            </w:r>
          </w:p>
        </w:tc>
        <w:tc>
          <w:tcPr>
            <w:tcW w:w="14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bidi="ar"/>
              </w:rPr>
              <w:t>5</w:t>
            </w:r>
          </w:p>
        </w:tc>
        <w:tc>
          <w:tcPr>
            <w:tcW w:w="14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eastAsia" w:ascii="仿宋_GB2312"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eastAsia"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bidi="ar"/>
              </w:rPr>
              <w:t>高新区</w:t>
            </w:r>
          </w:p>
        </w:tc>
        <w:tc>
          <w:tcPr>
            <w:tcW w:w="14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eastAsia"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bidi="ar"/>
              </w:rPr>
              <w:t>5</w:t>
            </w:r>
          </w:p>
        </w:tc>
        <w:tc>
          <w:tcPr>
            <w:tcW w:w="14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100%</w:t>
            </w:r>
          </w:p>
        </w:tc>
        <w:tc>
          <w:tcPr>
            <w:tcW w:w="14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14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p>
        </w:tc>
        <w:tc>
          <w:tcPr>
            <w:tcW w:w="14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eastAsia" w:ascii="仿宋_GB2312" w:hAnsi="Times New Roman" w:eastAsia="仿宋_GB2312" w:cs="Times New Roman"/>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eastAsia"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bidi="ar"/>
              </w:rPr>
              <w:t>大通湖区</w:t>
            </w:r>
          </w:p>
        </w:tc>
        <w:tc>
          <w:tcPr>
            <w:tcW w:w="142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eastAsia"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bidi="ar"/>
              </w:rPr>
              <w:t>11</w:t>
            </w:r>
          </w:p>
        </w:tc>
        <w:tc>
          <w:tcPr>
            <w:tcW w:w="14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100%</w:t>
            </w:r>
          </w:p>
        </w:tc>
        <w:tc>
          <w:tcPr>
            <w:tcW w:w="14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bidi="ar"/>
              </w:rPr>
              <w:t>合计</w:t>
            </w:r>
          </w:p>
        </w:tc>
        <w:tc>
          <w:tcPr>
            <w:tcW w:w="14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default" w:ascii="Times New Roman"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bidi="ar"/>
              </w:rPr>
              <w:t>170</w:t>
            </w:r>
          </w:p>
        </w:tc>
        <w:tc>
          <w:tcPr>
            <w:tcW w:w="140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topLinePunct/>
              <w:spacing w:before="0" w:beforeAutospacing="0" w:after="0" w:afterAutospacing="0" w:line="600" w:lineRule="exact"/>
              <w:ind w:left="0" w:right="0"/>
              <w:jc w:val="center"/>
              <w:rPr>
                <w:rFonts w:hint="eastAsia"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lang w:val="en-US" w:eastAsia="zh-CN" w:bidi="ar"/>
              </w:rPr>
              <w:t>100%</w:t>
            </w:r>
          </w:p>
        </w:tc>
      </w:tr>
    </w:tbl>
    <w:p>
      <w:pPr>
        <w:keepNext w:val="0"/>
        <w:keepLines w:val="0"/>
        <w:widowControl w:val="0"/>
        <w:suppressLineNumbers w:val="0"/>
        <w:topLinePunct/>
        <w:spacing w:before="0" w:beforeAutospacing="0" w:after="0" w:afterAutospacing="0" w:line="600" w:lineRule="exact"/>
        <w:ind w:left="0" w:right="0" w:firstLine="640" w:firstLineChars="200"/>
        <w:jc w:val="center"/>
        <w:rPr>
          <w:rFonts w:hint="eastAsia" w:ascii="仿宋_GB2312" w:hAnsi="Times New Roman" w:eastAsia="仿宋_GB2312" w:cs="Times New Roman"/>
          <w:b w:val="0"/>
          <w:kern w:val="2"/>
          <w:sz w:val="32"/>
          <w:szCs w:val="32"/>
        </w:rPr>
      </w:pPr>
      <w:r>
        <w:rPr>
          <w:rFonts w:hint="eastAsia" w:ascii="仿宋_GB2312" w:hAnsi="Times New Roman" w:eastAsia="仿宋_GB2312" w:cs="仿宋_GB2312"/>
          <w:b w:val="0"/>
          <w:kern w:val="2"/>
          <w:sz w:val="32"/>
          <w:szCs w:val="32"/>
          <w:lang w:val="en-US" w:eastAsia="zh-CN" w:bidi="ar"/>
        </w:rPr>
        <w:t>（表</w:t>
      </w:r>
      <w:r>
        <w:rPr>
          <w:rFonts w:hint="eastAsia" w:ascii="仿宋_GB2312" w:hAnsi="Times New Roman" w:eastAsia="仿宋_GB2312" w:cs="Times New Roman"/>
          <w:b w:val="0"/>
          <w:kern w:val="2"/>
          <w:sz w:val="32"/>
          <w:szCs w:val="32"/>
          <w:lang w:val="en-US" w:eastAsia="zh-CN" w:bidi="ar"/>
        </w:rPr>
        <w:t>1）</w:t>
      </w:r>
    </w:p>
    <w:p>
      <w:pPr>
        <w:keepNext w:val="0"/>
        <w:keepLines w:val="0"/>
        <w:widowControl w:val="0"/>
        <w:suppressLineNumbers w:val="0"/>
        <w:topLinePunct/>
        <w:spacing w:before="0" w:beforeAutospacing="0" w:after="0" w:afterAutospacing="0" w:line="600" w:lineRule="exact"/>
        <w:ind w:left="0" w:right="0" w:firstLine="643"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b/>
          <w:kern w:val="2"/>
          <w:sz w:val="32"/>
          <w:szCs w:val="32"/>
          <w:lang w:val="en-US" w:eastAsia="zh-CN" w:bidi="ar"/>
        </w:rPr>
        <w:t>2、</w:t>
      </w:r>
      <w:r>
        <w:rPr>
          <w:rFonts w:hint="eastAsia" w:ascii="仿宋_GB2312" w:hAnsi="Times New Roman" w:eastAsia="仿宋_GB2312" w:cs="仿宋_GB2312"/>
          <w:b/>
          <w:color w:val="000000"/>
          <w:kern w:val="2"/>
          <w:sz w:val="32"/>
          <w:szCs w:val="32"/>
          <w:lang w:val="en-US" w:eastAsia="zh-CN" w:bidi="ar"/>
        </w:rPr>
        <w:t>资金管理情况。</w:t>
      </w:r>
      <w:r>
        <w:rPr>
          <w:rFonts w:hint="eastAsia" w:ascii="仿宋_GB2312" w:hAnsi="Times New Roman" w:eastAsia="仿宋_GB2312" w:cs="仿宋_GB2312"/>
          <w:color w:val="000000"/>
          <w:kern w:val="2"/>
          <w:sz w:val="32"/>
          <w:szCs w:val="32"/>
          <w:lang w:val="en-US" w:eastAsia="zh-CN" w:bidi="ar"/>
        </w:rPr>
        <w:t>根据湖南省委、湖南省人民政府《关于进一步加强安全生产工作的决定》（湘发〔2009〕19号）、《湖南省安全生产专项资金管理办法》（湘财企〔2015〕14号），市财政局与我局联合印发了《益阳市安全生产专项资金使用管理办法》（益财企〔2016〕156号），对安全生产专项资金的支持范围、申报程序和使用要求进行了规范。我局严格按照《益阳市安全生产专项资金使用管理办法》组织申报、评审和下达，项目单位基本能按照有关规定申报立项和使用专项资金。</w:t>
      </w:r>
    </w:p>
    <w:p>
      <w:pPr>
        <w:keepNext w:val="0"/>
        <w:keepLines w:val="0"/>
        <w:widowControl w:val="0"/>
        <w:suppressLineNumbers w:val="0"/>
        <w:spacing w:before="0" w:beforeAutospacing="0" w:after="0" w:afterAutospacing="0" w:line="570" w:lineRule="exact"/>
        <w:ind w:left="0" w:right="0" w:firstLine="640" w:firstLineChars="200"/>
        <w:jc w:val="both"/>
        <w:rPr>
          <w:rFonts w:hint="eastAsia" w:ascii="楷体" w:hAnsi="楷体" w:eastAsia="楷体" w:cs="楷体"/>
          <w:color w:val="000000"/>
          <w:kern w:val="2"/>
          <w:sz w:val="32"/>
          <w:szCs w:val="32"/>
        </w:rPr>
      </w:pPr>
      <w:r>
        <w:rPr>
          <w:rFonts w:hint="eastAsia" w:ascii="楷体" w:hAnsi="楷体" w:eastAsia="楷体" w:cs="楷体"/>
          <w:color w:val="000000"/>
          <w:kern w:val="2"/>
          <w:sz w:val="32"/>
          <w:szCs w:val="32"/>
          <w:lang w:val="en-US" w:eastAsia="zh-CN" w:bidi="ar"/>
        </w:rPr>
        <w:t>（三）项目组织情况分析</w:t>
      </w:r>
    </w:p>
    <w:p>
      <w:pPr>
        <w:keepNext w:val="0"/>
        <w:keepLines w:val="0"/>
        <w:widowControl w:val="0"/>
        <w:suppressLineNumbers w:val="0"/>
        <w:topLinePunct/>
        <w:spacing w:before="0" w:beforeAutospacing="0" w:after="0" w:afterAutospacing="0" w:line="600" w:lineRule="exact"/>
        <w:ind w:left="0" w:right="0" w:firstLine="643"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b/>
          <w:kern w:val="2"/>
          <w:sz w:val="32"/>
          <w:szCs w:val="32"/>
          <w:lang w:val="en-US" w:eastAsia="zh-CN" w:bidi="ar"/>
        </w:rPr>
        <w:t>1、组织项目申报。</w:t>
      </w:r>
      <w:r>
        <w:rPr>
          <w:rFonts w:hint="eastAsia" w:ascii="仿宋_GB2312" w:hAnsi="Times New Roman" w:eastAsia="仿宋_GB2312" w:cs="仿宋_GB2312"/>
          <w:kern w:val="2"/>
          <w:sz w:val="32"/>
          <w:szCs w:val="32"/>
          <w:lang w:val="en-US" w:eastAsia="zh-CN" w:bidi="ar"/>
        </w:rPr>
        <w:t>市应急局、市财政局联合印发《关于申报</w:t>
      </w:r>
      <w:r>
        <w:rPr>
          <w:rFonts w:hint="eastAsia" w:ascii="仿宋_GB2312" w:hAnsi="Times New Roman" w:eastAsia="仿宋_GB2312" w:cs="Times New Roman"/>
          <w:kern w:val="2"/>
          <w:sz w:val="32"/>
          <w:szCs w:val="32"/>
          <w:lang w:val="en-US" w:eastAsia="zh-CN" w:bidi="ar"/>
        </w:rPr>
        <w:t>2019年度安全生产预防及应急专项资金项目的通知》（益应急联〔2019〕5号），明确项目支持范围、申报对象、应提供资料、申报程序及工作要求等。项目申报人按照文件要求组织项目申报，区县（市）项目由同级应急管理局和财政局共同组织申报初审后，上报至市应急局。</w:t>
      </w:r>
    </w:p>
    <w:p>
      <w:pPr>
        <w:keepNext w:val="0"/>
        <w:keepLines w:val="0"/>
        <w:widowControl w:val="0"/>
        <w:suppressLineNumbers w:val="0"/>
        <w:topLinePunct/>
        <w:spacing w:before="0" w:beforeAutospacing="0" w:after="0" w:afterAutospacing="0" w:line="600" w:lineRule="exact"/>
        <w:ind w:left="0" w:right="0" w:firstLine="643"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Times New Roman"/>
          <w:b/>
          <w:kern w:val="2"/>
          <w:sz w:val="32"/>
          <w:szCs w:val="32"/>
          <w:lang w:val="en-US" w:eastAsia="zh-CN" w:bidi="ar"/>
        </w:rPr>
        <w:t>2、开展项目评审。</w:t>
      </w:r>
      <w:r>
        <w:rPr>
          <w:rFonts w:hint="eastAsia" w:ascii="仿宋_GB2312" w:hAnsi="Times New Roman" w:eastAsia="仿宋_GB2312" w:cs="仿宋_GB2312"/>
          <w:kern w:val="2"/>
          <w:sz w:val="32"/>
          <w:szCs w:val="32"/>
          <w:lang w:val="en-US" w:eastAsia="zh-CN" w:bidi="ar"/>
        </w:rPr>
        <w:t>市应急局会同财政局对上报项目进行评审，拟定入围项目和资金计划。</w:t>
      </w:r>
    </w:p>
    <w:p>
      <w:pPr>
        <w:keepNext w:val="0"/>
        <w:keepLines w:val="0"/>
        <w:widowControl w:val="0"/>
        <w:suppressLineNumbers w:val="0"/>
        <w:topLinePunct/>
        <w:spacing w:before="0" w:beforeAutospacing="0" w:after="0" w:afterAutospacing="0" w:line="600" w:lineRule="exact"/>
        <w:ind w:left="0" w:right="0" w:firstLine="643" w:firstLineChars="200"/>
        <w:jc w:val="both"/>
        <w:rPr>
          <w:rFonts w:hint="eastAsia" w:ascii="仿宋_GB2312" w:hAnsi="Times New Roman" w:eastAsia="仿宋_GB2312" w:cs="Times New Roman"/>
          <w:b/>
          <w:kern w:val="2"/>
          <w:sz w:val="32"/>
          <w:szCs w:val="32"/>
        </w:rPr>
      </w:pPr>
      <w:r>
        <w:rPr>
          <w:rFonts w:hint="eastAsia" w:ascii="仿宋_GB2312" w:hAnsi="Times New Roman" w:eastAsia="仿宋_GB2312" w:cs="Times New Roman"/>
          <w:b/>
          <w:kern w:val="2"/>
          <w:sz w:val="32"/>
          <w:szCs w:val="32"/>
          <w:lang w:val="en-US" w:eastAsia="zh-CN" w:bidi="ar"/>
        </w:rPr>
        <w:t>3、进行项目公示。</w:t>
      </w:r>
      <w:r>
        <w:rPr>
          <w:rFonts w:hint="eastAsia" w:ascii="仿宋_GB2312" w:hAnsi="Times New Roman" w:eastAsia="仿宋_GB2312" w:cs="仿宋_GB2312"/>
          <w:b w:val="0"/>
          <w:kern w:val="2"/>
          <w:sz w:val="32"/>
          <w:szCs w:val="32"/>
          <w:lang w:val="en-US" w:eastAsia="zh-CN" w:bidi="ar"/>
        </w:rPr>
        <w:t>益阳市财政局联合我局印发《关于下达</w:t>
      </w:r>
      <w:r>
        <w:rPr>
          <w:rFonts w:hint="eastAsia" w:ascii="仿宋_GB2312" w:hAnsi="Times New Roman" w:eastAsia="仿宋_GB2312" w:cs="Times New Roman"/>
          <w:b w:val="0"/>
          <w:kern w:val="2"/>
          <w:sz w:val="32"/>
          <w:szCs w:val="32"/>
          <w:lang w:val="en-US" w:eastAsia="zh-CN" w:bidi="ar"/>
        </w:rPr>
        <w:t>2019年安全生产预防及应急专项资金的通知》（益财企指〔2019〕170号），对年度内支持的重点项目和资金分配方案进行公示，接受群众和社会监督。</w:t>
      </w:r>
    </w:p>
    <w:p>
      <w:pPr>
        <w:keepNext w:val="0"/>
        <w:keepLines w:val="0"/>
        <w:widowControl w:val="0"/>
        <w:suppressLineNumbers w:val="0"/>
        <w:spacing w:before="0" w:beforeAutospacing="0" w:after="0" w:afterAutospacing="0" w:line="570" w:lineRule="exact"/>
        <w:ind w:left="0" w:right="0" w:firstLine="640" w:firstLineChars="200"/>
        <w:jc w:val="both"/>
        <w:rPr>
          <w:rFonts w:hint="eastAsia" w:ascii="楷体" w:hAnsi="楷体" w:eastAsia="楷体" w:cs="楷体"/>
          <w:color w:val="000000"/>
          <w:kern w:val="2"/>
          <w:sz w:val="32"/>
          <w:szCs w:val="32"/>
        </w:rPr>
      </w:pPr>
      <w:r>
        <w:rPr>
          <w:rFonts w:hint="eastAsia" w:ascii="楷体" w:hAnsi="楷体" w:eastAsia="楷体" w:cs="楷体"/>
          <w:color w:val="000000"/>
          <w:kern w:val="2"/>
          <w:sz w:val="32"/>
          <w:szCs w:val="32"/>
          <w:lang w:val="en-US" w:eastAsia="zh-CN" w:bidi="ar"/>
        </w:rPr>
        <w:t>（四）项目管理情况分析</w:t>
      </w:r>
    </w:p>
    <w:p>
      <w:pPr>
        <w:keepNext w:val="0"/>
        <w:keepLines w:val="0"/>
        <w:widowControl w:val="0"/>
        <w:suppressLineNumbers w:val="0"/>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各项目实施单位根据《湖南省安全生产专项资金管理办法》和《益阳市安全生产专项资金使用管理办法》的要求申报项目立项，单位内部控制制度中制定了项目管理相关的各项规章制度，有序组织项目实施。拟于2020年上半年对</w:t>
      </w:r>
      <w:r>
        <w:rPr>
          <w:rFonts w:hint="eastAsia" w:ascii="仿宋_GB2312" w:hAnsi="Times New Roman" w:eastAsia="仿宋_GB2312" w:cs="仿宋_GB2312"/>
          <w:b w:val="0"/>
          <w:kern w:val="2"/>
          <w:sz w:val="32"/>
          <w:szCs w:val="32"/>
          <w:lang w:val="en-US" w:eastAsia="zh-CN" w:bidi="ar"/>
        </w:rPr>
        <w:t>安全生产预防及应急专项资金</w:t>
      </w:r>
      <w:r>
        <w:rPr>
          <w:rFonts w:hint="eastAsia" w:ascii="仿宋_GB2312" w:hAnsi="Times New Roman" w:eastAsia="仿宋_GB2312" w:cs="仿宋_GB2312"/>
          <w:color w:val="000000"/>
          <w:kern w:val="2"/>
          <w:sz w:val="32"/>
          <w:szCs w:val="32"/>
          <w:lang w:val="en-US" w:eastAsia="zh-CN" w:bidi="ar"/>
        </w:rPr>
        <w:t>使用情况进行绩效评价，以考评问效助推资金管理，促进全市安全生产及应急管理工作的开展。</w:t>
      </w:r>
    </w:p>
    <w:p>
      <w:pPr>
        <w:keepNext w:val="0"/>
        <w:keepLines w:val="0"/>
        <w:widowControl w:val="0"/>
        <w:suppressLineNumbers w:val="0"/>
        <w:topLinePunct/>
        <w:spacing w:before="0" w:beforeAutospacing="0" w:after="0" w:afterAutospacing="0" w:line="600" w:lineRule="exact"/>
        <w:ind w:left="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三、项目绩效情况</w:t>
      </w:r>
    </w:p>
    <w:p>
      <w:pPr>
        <w:keepNext w:val="0"/>
        <w:keepLines w:val="0"/>
        <w:widowControl w:val="0"/>
        <w:suppressLineNumbers w:val="0"/>
        <w:spacing w:before="0" w:beforeAutospacing="0" w:after="0" w:afterAutospacing="0" w:line="57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2019年度安全生产预防及应急专项资金严格按照《益阳市安全生产专项资金使用管理办法》进行申报、分配、使用和管理，程序规范，流程透明，通过有关项目的实施，取得了良好的的经济收益和社会效益。</w:t>
      </w:r>
    </w:p>
    <w:p>
      <w:pPr>
        <w:keepNext w:val="0"/>
        <w:keepLines w:val="0"/>
        <w:widowControl w:val="0"/>
        <w:suppressLineNumbers w:val="0"/>
        <w:topLinePunct/>
        <w:spacing w:before="0" w:beforeAutospacing="0" w:after="0" w:afterAutospacing="0" w:line="600" w:lineRule="exact"/>
        <w:ind w:left="0" w:right="0" w:firstLine="640" w:firstLineChars="200"/>
        <w:jc w:val="both"/>
        <w:rPr>
          <w:rFonts w:hint="eastAsia" w:ascii="仿宋_GB2312" w:hAnsi="Times New Roman" w:eastAsia="仿宋_GB2312" w:cs="Times New Roman"/>
          <w:kern w:val="2"/>
          <w:sz w:val="32"/>
          <w:szCs w:val="32"/>
        </w:rPr>
      </w:pPr>
      <w:r>
        <w:rPr>
          <w:rFonts w:hint="eastAsia" w:ascii="仿宋_GB2312" w:hAnsi="Times New Roman" w:eastAsia="仿宋_GB2312" w:cs="仿宋_GB2312"/>
          <w:color w:val="000000"/>
          <w:kern w:val="2"/>
          <w:sz w:val="32"/>
          <w:szCs w:val="32"/>
          <w:lang w:val="en-US" w:eastAsia="zh-CN" w:bidi="ar"/>
        </w:rPr>
        <w:t>对照《2019年项目支出绩效自评指标计分表》，我局自评得分95.5分，自评结论为“优”。</w:t>
      </w:r>
    </w:p>
    <w:p>
      <w:pPr>
        <w:keepNext w:val="0"/>
        <w:keepLines w:val="0"/>
        <w:widowControl/>
        <w:numPr>
          <w:ilvl w:val="0"/>
          <w:numId w:val="3"/>
        </w:numPr>
        <w:suppressLineNumbers w:val="0"/>
        <w:spacing w:before="0" w:beforeAutospacing="0" w:after="0" w:afterAutospacing="0" w:line="580" w:lineRule="exact"/>
        <w:ind w:left="0" w:right="0" w:firstLine="643" w:firstLineChars="200"/>
        <w:jc w:val="both"/>
        <w:rPr>
          <w:rFonts w:hint="eastAsia" w:ascii="楷体" w:hAnsi="楷体" w:eastAsia="楷体" w:cs="楷体"/>
          <w:kern w:val="2"/>
          <w:sz w:val="32"/>
          <w:szCs w:val="32"/>
        </w:rPr>
      </w:pPr>
      <w:r>
        <w:rPr>
          <w:rFonts w:hint="eastAsia" w:ascii="仿宋_GB2312" w:hAnsi="Times New Roman" w:eastAsia="仿宋_GB2312" w:cs="仿宋_GB2312"/>
          <w:b/>
          <w:kern w:val="2"/>
          <w:sz w:val="32"/>
          <w:szCs w:val="32"/>
          <w:lang w:val="en-US" w:eastAsia="zh-CN" w:bidi="ar"/>
        </w:rPr>
        <w:t>进一步探索应急救援体系建设。</w:t>
      </w:r>
      <w:r>
        <w:rPr>
          <w:rFonts w:hint="eastAsia" w:ascii="仿宋_GB2312" w:hAnsi="Times New Roman" w:eastAsia="仿宋_GB2312" w:cs="仿宋_GB2312"/>
          <w:kern w:val="2"/>
          <w:sz w:val="32"/>
          <w:szCs w:val="32"/>
          <w:lang w:val="en-US" w:eastAsia="zh-CN" w:bidi="ar"/>
        </w:rPr>
        <w:t>应急救援体系建设是时代命题，也是现实之需。我单位</w:t>
      </w:r>
      <w:r>
        <w:rPr>
          <w:rFonts w:hint="eastAsia" w:ascii="仿宋_GB2312" w:hAnsi="Times New Roman" w:eastAsia="仿宋_GB2312" w:cs="仿宋_GB2312"/>
          <w:b w:val="0"/>
          <w:kern w:val="2"/>
          <w:sz w:val="32"/>
          <w:szCs w:val="32"/>
          <w:lang w:val="en-US" w:eastAsia="zh-CN" w:bidi="ar"/>
        </w:rPr>
        <w:t>一方面以规划为引领，安排专项资金用于益阳市“十四五”应急体系建设规划编制，为建立和理顺权威高效的应急救援体系奠定了资金基础；另一方面以科技为支撑，加强应急管理信息化平台建设，</w:t>
      </w:r>
      <w:r>
        <w:rPr>
          <w:rFonts w:hint="eastAsia" w:ascii="仿宋_GB2312" w:hAnsi="Times New Roman" w:eastAsia="仿宋_GB2312" w:cs="仿宋_GB2312"/>
          <w:kern w:val="2"/>
          <w:sz w:val="32"/>
          <w:szCs w:val="32"/>
          <w:lang w:val="en-US" w:eastAsia="zh-CN" w:bidi="ar"/>
        </w:rPr>
        <w:t>向科技要生产力，拨付大通湖应急管理局和南县应急管理局各6万元用于应急指挥综合应用平台建设，从自有资金中拿出10万元用于桃江县应急管理信息化建设，不断提升安全监管效能和应急处置能力。</w:t>
      </w:r>
    </w:p>
    <w:p>
      <w:pPr>
        <w:keepNext w:val="0"/>
        <w:keepLines w:val="0"/>
        <w:widowControl w:val="0"/>
        <w:suppressLineNumbers w:val="0"/>
        <w:topLinePunct/>
        <w:spacing w:before="0" w:beforeAutospacing="0" w:after="0" w:afterAutospacing="0" w:line="600" w:lineRule="exact"/>
        <w:ind w:left="0" w:right="0" w:firstLine="643" w:firstLineChars="200"/>
        <w:jc w:val="both"/>
        <w:rPr>
          <w:rFonts w:hint="eastAsia" w:ascii="仿宋_GB2312" w:hAnsi="Times New Roman" w:eastAsia="仿宋_GB2312" w:cs="Times New Roman"/>
          <w:color w:val="000000"/>
          <w:kern w:val="2"/>
          <w:sz w:val="32"/>
          <w:szCs w:val="32"/>
        </w:rPr>
      </w:pPr>
      <w:r>
        <w:rPr>
          <w:rFonts w:hint="eastAsia" w:ascii="仿宋_GB2312" w:hAnsi="Times New Roman" w:eastAsia="仿宋_GB2312" w:cs="仿宋_GB2312"/>
          <w:b/>
          <w:kern w:val="2"/>
          <w:sz w:val="32"/>
          <w:szCs w:val="32"/>
          <w:lang w:val="en-US" w:eastAsia="zh-CN" w:bidi="ar"/>
        </w:rPr>
        <w:t>2、进一步加强隐患排查整治力度</w:t>
      </w:r>
      <w:r>
        <w:rPr>
          <w:rFonts w:hint="eastAsia" w:ascii="楷体" w:hAnsi="楷体" w:eastAsia="楷体" w:cs="楷体"/>
          <w:b w:val="0"/>
          <w:kern w:val="2"/>
          <w:sz w:val="32"/>
          <w:szCs w:val="32"/>
          <w:lang w:val="en-US" w:eastAsia="zh-CN" w:bidi="ar"/>
        </w:rPr>
        <w:t>。</w:t>
      </w:r>
      <w:r>
        <w:rPr>
          <w:rFonts w:hint="eastAsia" w:ascii="仿宋_GB2312" w:hAnsi="Times New Roman" w:eastAsia="仿宋_GB2312" w:cs="仿宋_GB2312"/>
          <w:b w:val="0"/>
          <w:kern w:val="2"/>
          <w:sz w:val="32"/>
          <w:szCs w:val="32"/>
          <w:lang w:val="en-US" w:eastAsia="zh-CN" w:bidi="ar"/>
        </w:rPr>
        <w:t>隐患排查治理既是开展安全生产工作的重要抓手，也是保证人民生产生活安全的有效手段。在过去的一年里，我局从专项资金中</w:t>
      </w:r>
      <w:r>
        <w:rPr>
          <w:rFonts w:hint="eastAsia" w:ascii="仿宋_GB2312" w:hAnsi="Times New Roman" w:eastAsia="仿宋_GB2312" w:cs="仿宋_GB2312"/>
          <w:kern w:val="2"/>
          <w:sz w:val="32"/>
          <w:szCs w:val="32"/>
          <w:lang w:val="en-US" w:eastAsia="zh-CN" w:bidi="ar"/>
        </w:rPr>
        <w:t>投入</w:t>
      </w:r>
      <w:r>
        <w:rPr>
          <w:rFonts w:hint="eastAsia" w:ascii="仿宋_GB2312" w:hAnsi="Times New Roman" w:eastAsia="仿宋_GB2312" w:cs="Times New Roman"/>
          <w:kern w:val="2"/>
          <w:sz w:val="32"/>
          <w:szCs w:val="32"/>
          <w:lang w:val="en-US" w:eastAsia="zh-CN" w:bidi="ar"/>
        </w:rPr>
        <w:t>41万元用于各地安全生产隐患排查治理工作，较上年度增加了22万元，增幅达115.79%，覆盖范围包括6个区县（市），</w:t>
      </w:r>
      <w:r>
        <w:rPr>
          <w:rFonts w:hint="eastAsia" w:ascii="仿宋_GB2312" w:hAnsi="Times New Roman" w:eastAsia="仿宋_GB2312" w:cs="仿宋_GB2312"/>
          <w:color w:val="000000"/>
          <w:kern w:val="2"/>
          <w:sz w:val="32"/>
          <w:szCs w:val="32"/>
          <w:lang w:val="en-US" w:eastAsia="zh-CN" w:bidi="ar"/>
        </w:rPr>
        <w:t>项目涉及挡土墙安全隐患整改、交通沿线企业隐患整改、道路交通隐患治理、非煤矿山安全隐患治理等。这是对</w:t>
      </w:r>
      <w:r>
        <w:rPr>
          <w:rFonts w:hint="eastAsia" w:ascii="仿宋_GB2312" w:hAnsi="Times New Roman" w:eastAsia="仿宋_GB2312" w:cs="仿宋_GB2312"/>
          <w:kern w:val="2"/>
          <w:sz w:val="32"/>
          <w:szCs w:val="32"/>
          <w:lang w:val="en-US" w:eastAsia="zh-CN" w:bidi="ar"/>
        </w:rPr>
        <w:t>省安委部署的安全风险隐患“大排查大管控大整治”百日行动的延伸，在一定程度上稳控了我市安全生产风险。</w:t>
      </w:r>
    </w:p>
    <w:p>
      <w:pPr>
        <w:keepNext w:val="0"/>
        <w:keepLines w:val="0"/>
        <w:widowControl w:val="0"/>
        <w:numPr>
          <w:ilvl w:val="0"/>
          <w:numId w:val="4"/>
        </w:numPr>
        <w:suppressLineNumbers w:val="0"/>
        <w:topLinePunct/>
        <w:spacing w:before="0" w:beforeAutospacing="0" w:after="0" w:afterAutospacing="0" w:line="600" w:lineRule="exact"/>
        <w:ind w:left="0" w:right="0" w:firstLine="643" w:firstLineChars="200"/>
        <w:jc w:val="both"/>
        <w:rPr>
          <w:rFonts w:hint="eastAsia" w:ascii="仿宋_GB2312" w:eastAsia="仿宋_GB2312" w:cs="仿宋_GB2312"/>
          <w:kern w:val="2"/>
          <w:sz w:val="32"/>
          <w:szCs w:val="32"/>
        </w:rPr>
      </w:pPr>
      <w:r>
        <w:rPr>
          <w:rFonts w:hint="eastAsia" w:ascii="仿宋_GB2312" w:hAnsi="Times New Roman" w:eastAsia="仿宋_GB2312" w:cs="仿宋_GB2312"/>
          <w:b/>
          <w:kern w:val="2"/>
          <w:sz w:val="32"/>
          <w:szCs w:val="32"/>
          <w:lang w:val="en-US" w:eastAsia="zh-CN" w:bidi="ar"/>
        </w:rPr>
        <w:t>进一步抓实应急救援队伍建设。</w:t>
      </w:r>
      <w:r>
        <w:rPr>
          <w:rFonts w:hint="eastAsia" w:ascii="仿宋_GB2312" w:hAnsi="Times New Roman" w:eastAsia="仿宋_GB2312" w:cs="仿宋_GB2312"/>
          <w:kern w:val="2"/>
          <w:sz w:val="32"/>
          <w:szCs w:val="32"/>
          <w:lang w:val="en-US" w:eastAsia="zh-CN" w:bidi="ar"/>
        </w:rPr>
        <w:t>为适应“大应急、全灾种”应急救援工作的需要，与社会应急救援力量共治共建，打造一支专业化、综合化应急救援队伍是应有之义。2019年分别向市蓝天应急救援服务中心、市城乡工程机械管理中心、沅江市新华应急救援服务中心拨付5万元、5万元、3万元用于队伍建设；向沅江市应急管理局拨付6万元用于应急转移演练，同时，在此专项资金外，从自身经费中安排10万元用于安化县矿山救护队设备补充及设施维护。在帮助各应急救援队伍锻造自身的同时，也在整体上增强了我市应急救援力量。</w:t>
      </w:r>
    </w:p>
    <w:p>
      <w:pPr>
        <w:keepNext w:val="0"/>
        <w:keepLines w:val="0"/>
        <w:widowControl w:val="0"/>
        <w:suppressLineNumbers w:val="0"/>
        <w:topLinePunct/>
        <w:spacing w:before="0" w:beforeAutospacing="0" w:after="0" w:afterAutospacing="0" w:line="600" w:lineRule="exact"/>
        <w:ind w:left="0" w:right="0" w:firstLine="643" w:firstLineChars="200"/>
        <w:jc w:val="both"/>
        <w:rPr>
          <w:rFonts w:hint="eastAsia" w:ascii="仿宋_GB2312" w:eastAsia="仿宋_GB2312" w:cs="仿宋_GB2312"/>
          <w:kern w:val="2"/>
          <w:sz w:val="32"/>
          <w:szCs w:val="32"/>
        </w:rPr>
      </w:pPr>
      <w:r>
        <w:rPr>
          <w:rFonts w:hint="eastAsia" w:ascii="仿宋_GB2312" w:hAnsi="Times New Roman" w:eastAsia="仿宋_GB2312" w:cs="仿宋_GB2312"/>
          <w:b/>
          <w:kern w:val="2"/>
          <w:sz w:val="32"/>
          <w:szCs w:val="32"/>
          <w:lang w:val="en-US" w:eastAsia="zh-CN" w:bidi="ar"/>
        </w:rPr>
        <w:t>4、进一步发挥示范创建引领作用。</w:t>
      </w:r>
      <w:r>
        <w:rPr>
          <w:rFonts w:hint="eastAsia" w:ascii="仿宋_GB2312" w:hAnsi="Times New Roman" w:eastAsia="仿宋_GB2312" w:cs="仿宋_GB2312"/>
          <w:kern w:val="2"/>
          <w:sz w:val="32"/>
          <w:szCs w:val="32"/>
          <w:lang w:val="en-US" w:eastAsia="zh-CN" w:bidi="ar"/>
        </w:rPr>
        <w:t>2019年，我单位持续加强对示范乡镇和企业标准化创建的支持力度，坚持以标准促示范，以示范强标准的工作理念，向赫山区应急管理局拨付省级工贸行业安全生产标准化示范区创建资金10万元，向桃江县石牛江镇拨付示范镇创建帮扶资金5万元，有效推动了两地的示范创建工作，赫山区成功创建了全省唯一的省级工贸企业标准化创建示范区（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firstLineChars="200"/>
        <w:jc w:val="both"/>
        <w:rPr>
          <w:rFonts w:hint="eastAsia" w:ascii="黑体" w:hAnsi="宋体" w:eastAsia="黑体" w:cs="黑体"/>
          <w:kern w:val="0"/>
          <w:sz w:val="32"/>
          <w:szCs w:val="32"/>
        </w:rPr>
      </w:pPr>
      <w:r>
        <w:rPr>
          <w:rFonts w:hint="eastAsia" w:ascii="黑体" w:hAnsi="宋体" w:eastAsia="黑体" w:cs="黑体"/>
          <w:kern w:val="0"/>
          <w:sz w:val="32"/>
          <w:szCs w:val="32"/>
          <w:lang w:val="en-US" w:eastAsia="zh-CN" w:bidi="ar"/>
        </w:rPr>
        <w:t>四、存在的问题</w:t>
      </w:r>
    </w:p>
    <w:p>
      <w:pPr>
        <w:keepNext w:val="0"/>
        <w:keepLines w:val="0"/>
        <w:widowControl w:val="0"/>
        <w:suppressLineNumbers w:val="0"/>
        <w:topLinePunct/>
        <w:spacing w:before="0" w:beforeAutospacing="0" w:after="0" w:afterAutospacing="0" w:line="600" w:lineRule="exact"/>
        <w:ind w:left="0" w:right="0" w:firstLine="640" w:firstLineChars="200"/>
        <w:jc w:val="both"/>
        <w:rPr>
          <w:rFonts w:hint="eastAsia" w:ascii="仿宋_GB2312" w:eastAsia="仿宋_GB2312" w:cs="仿宋_GB2312"/>
          <w:color w:val="000000"/>
          <w:kern w:val="2"/>
          <w:sz w:val="32"/>
          <w:szCs w:val="32"/>
        </w:rPr>
      </w:pPr>
      <w:r>
        <w:rPr>
          <w:rFonts w:hint="eastAsia" w:ascii="仿宋_GB2312" w:hAnsi="Times New Roman" w:eastAsia="仿宋_GB2312" w:cs="仿宋_GB2312"/>
          <w:color w:val="000000"/>
          <w:kern w:val="2"/>
          <w:sz w:val="32"/>
          <w:szCs w:val="32"/>
          <w:lang w:val="en-US" w:eastAsia="zh-CN" w:bidi="ar"/>
        </w:rPr>
        <w:t>自安全生产预防及应急专项资金设立以来，对我市安全生产隐患排查治理、示范创建工作、应急救援体系的建立、基层基础建设等方面产生了积极作用，在一定程度上保障了全市安全生产总体形势稳定，但仍存在着一些问题:</w:t>
      </w:r>
    </w:p>
    <w:p>
      <w:pPr>
        <w:keepNext w:val="0"/>
        <w:keepLines w:val="0"/>
        <w:widowControl w:val="0"/>
        <w:suppressLineNumbers w:val="0"/>
        <w:topLinePunct/>
        <w:spacing w:before="0" w:beforeAutospacing="0" w:after="0" w:afterAutospacing="0" w:line="600" w:lineRule="exact"/>
        <w:ind w:left="0" w:right="0" w:firstLine="643" w:firstLineChars="200"/>
        <w:jc w:val="both"/>
        <w:rPr>
          <w:rFonts w:hint="eastAsia" w:ascii="仿宋_GB2312" w:hAnsi="Times New Roman" w:eastAsia="仿宋_GB2312" w:cs="Times New Roman"/>
          <w:b w:val="0"/>
          <w:kern w:val="2"/>
          <w:sz w:val="32"/>
          <w:szCs w:val="32"/>
        </w:rPr>
      </w:pPr>
      <w:r>
        <w:rPr>
          <w:rFonts w:hint="eastAsia" w:ascii="仿宋_GB2312" w:hAnsi="Times New Roman" w:eastAsia="仿宋_GB2312" w:cs="Times New Roman"/>
          <w:b/>
          <w:kern w:val="2"/>
          <w:sz w:val="32"/>
          <w:szCs w:val="32"/>
          <w:lang w:val="en-US" w:eastAsia="zh-CN" w:bidi="ar"/>
        </w:rPr>
        <w:t>1、资金规模过小。</w:t>
      </w:r>
      <w:r>
        <w:rPr>
          <w:rFonts w:hint="eastAsia" w:ascii="仿宋_GB2312" w:hAnsi="Times New Roman" w:eastAsia="仿宋_GB2312" w:cs="仿宋_GB2312"/>
          <w:b w:val="0"/>
          <w:kern w:val="2"/>
          <w:sz w:val="32"/>
          <w:szCs w:val="32"/>
          <w:lang w:val="en-US" w:eastAsia="zh-CN" w:bidi="ar"/>
        </w:rPr>
        <w:t>该专项资金与我市安全生产和应急管理工作实际不相匹配，更与兄弟市州相比有较大差距。</w:t>
      </w:r>
    </w:p>
    <w:p>
      <w:pPr>
        <w:keepNext w:val="0"/>
        <w:keepLines w:val="0"/>
        <w:widowControl w:val="0"/>
        <w:suppressLineNumbers w:val="0"/>
        <w:topLinePunct/>
        <w:spacing w:before="0" w:beforeAutospacing="0" w:after="0" w:afterAutospacing="0" w:line="600" w:lineRule="exact"/>
        <w:ind w:left="0" w:right="0" w:firstLine="643" w:firstLineChars="200"/>
        <w:jc w:val="both"/>
        <w:rPr>
          <w:rFonts w:hint="eastAsia" w:ascii="仿宋_GB2312" w:hAnsi="Times New Roman" w:eastAsia="仿宋_GB2312" w:cs="Times New Roman"/>
          <w:b w:val="0"/>
          <w:kern w:val="2"/>
          <w:sz w:val="32"/>
          <w:szCs w:val="32"/>
        </w:rPr>
      </w:pPr>
      <w:r>
        <w:rPr>
          <w:rFonts w:hint="eastAsia" w:ascii="仿宋_GB2312" w:hAnsi="Times New Roman" w:eastAsia="仿宋_GB2312" w:cs="Times New Roman"/>
          <w:b/>
          <w:kern w:val="2"/>
          <w:sz w:val="32"/>
          <w:szCs w:val="32"/>
          <w:lang w:val="en-US" w:eastAsia="zh-CN" w:bidi="ar"/>
        </w:rPr>
        <w:t>2、资金连年压减。</w:t>
      </w:r>
      <w:r>
        <w:rPr>
          <w:rFonts w:hint="eastAsia" w:ascii="仿宋_GB2312" w:hAnsi="Times New Roman" w:eastAsia="仿宋_GB2312" w:cs="仿宋_GB2312"/>
          <w:b w:val="0"/>
          <w:kern w:val="2"/>
          <w:sz w:val="32"/>
          <w:szCs w:val="32"/>
          <w:lang w:val="en-US" w:eastAsia="zh-CN" w:bidi="ar"/>
        </w:rPr>
        <w:t>机构改革后我单位职能增加，重任压肩，专项资金非但没有增加，反倒逐年压减，导致部分既定工作无法正常展开。不符合省政府明确提出的</w:t>
      </w:r>
      <w:r>
        <w:rPr>
          <w:rFonts w:hint="eastAsia" w:ascii="仿宋_GB2312" w:hAnsi="Times New Roman" w:eastAsia="仿宋_GB2312" w:cs="Times New Roman"/>
          <w:b w:val="0"/>
          <w:kern w:val="2"/>
          <w:sz w:val="32"/>
          <w:szCs w:val="32"/>
          <w:lang w:val="en-US" w:eastAsia="zh-CN" w:bidi="ar"/>
        </w:rPr>
        <w:t>“同比不得减少”的要求。</w:t>
      </w:r>
    </w:p>
    <w:p>
      <w:pPr>
        <w:keepNext w:val="0"/>
        <w:keepLines w:val="0"/>
        <w:widowControl w:val="0"/>
        <w:suppressLineNumbers w:val="0"/>
        <w:spacing w:before="0" w:beforeAutospacing="0" w:after="0" w:afterAutospacing="0" w:line="570" w:lineRule="exact"/>
        <w:ind w:left="0" w:right="0" w:firstLine="640" w:firstLineChars="200"/>
        <w:jc w:val="both"/>
        <w:rPr>
          <w:rFonts w:hint="eastAsia" w:ascii="黑体" w:hAnsi="宋体" w:eastAsia="黑体" w:cs="黑体"/>
          <w:b w:val="0"/>
          <w:kern w:val="2"/>
          <w:sz w:val="32"/>
          <w:szCs w:val="32"/>
        </w:rPr>
      </w:pPr>
      <w:r>
        <w:rPr>
          <w:rFonts w:hint="eastAsia" w:ascii="黑体" w:hAnsi="宋体" w:eastAsia="黑体" w:cs="黑体"/>
          <w:b w:val="0"/>
          <w:kern w:val="2"/>
          <w:sz w:val="32"/>
          <w:szCs w:val="32"/>
          <w:lang w:val="en-US" w:eastAsia="zh-CN" w:bidi="ar"/>
        </w:rPr>
        <w:t>五、</w:t>
      </w:r>
      <w:r>
        <w:rPr>
          <w:rFonts w:hint="eastAsia" w:ascii="黑体" w:hAnsi="宋体" w:eastAsia="黑体" w:cs="黑体"/>
          <w:color w:val="000000"/>
          <w:kern w:val="2"/>
          <w:sz w:val="32"/>
          <w:szCs w:val="32"/>
          <w:lang w:val="en-US" w:eastAsia="zh-CN" w:bidi="ar"/>
        </w:rPr>
        <w:t>后续工作计划</w:t>
      </w:r>
    </w:p>
    <w:p>
      <w:pPr>
        <w:keepNext w:val="0"/>
        <w:keepLines w:val="0"/>
        <w:widowControl w:val="0"/>
        <w:suppressLineNumbers w:val="0"/>
        <w:spacing w:before="0" w:beforeAutospacing="0" w:after="0" w:afterAutospacing="0" w:line="570" w:lineRule="exact"/>
        <w:ind w:left="0" w:right="0" w:firstLine="643" w:firstLineChars="200"/>
        <w:jc w:val="both"/>
        <w:rPr>
          <w:rFonts w:hint="eastAsia" w:ascii="仿宋_GB2312" w:hAnsi="Times New Roman" w:eastAsia="仿宋_GB2312" w:cs="Times New Roman"/>
          <w:color w:val="000000"/>
          <w:kern w:val="2"/>
          <w:sz w:val="32"/>
          <w:szCs w:val="32"/>
        </w:rPr>
      </w:pPr>
      <w:r>
        <w:rPr>
          <w:rFonts w:hint="eastAsia" w:ascii="仿宋_GB2312" w:hAnsi="Times New Roman" w:eastAsia="仿宋_GB2312" w:cs="Times New Roman"/>
          <w:b/>
          <w:color w:val="000000"/>
          <w:kern w:val="2"/>
          <w:sz w:val="32"/>
          <w:szCs w:val="32"/>
          <w:lang w:val="en-US" w:eastAsia="zh-CN" w:bidi="ar"/>
        </w:rPr>
        <w:t>1、加强资金使用管理。</w:t>
      </w:r>
      <w:r>
        <w:rPr>
          <w:rFonts w:hint="eastAsia" w:ascii="仿宋_GB2312" w:hAnsi="Times New Roman" w:eastAsia="仿宋_GB2312" w:cs="仿宋_GB2312"/>
          <w:color w:val="000000"/>
          <w:kern w:val="2"/>
          <w:sz w:val="32"/>
          <w:szCs w:val="32"/>
          <w:lang w:val="en-US" w:eastAsia="zh-CN" w:bidi="ar"/>
        </w:rPr>
        <w:t>进一步规范专项资金的支出审批和使用</w:t>
      </w:r>
      <w:r>
        <w:rPr>
          <w:rFonts w:hint="eastAsia" w:ascii="仿宋_GB2312" w:hAnsi="Times New Roman" w:eastAsia="仿宋_GB2312" w:cs="Times New Roman"/>
          <w:color w:val="000000"/>
          <w:kern w:val="2"/>
          <w:sz w:val="32"/>
          <w:szCs w:val="32"/>
          <w:lang w:val="en-US" w:eastAsia="zh-CN" w:bidi="ar"/>
        </w:rPr>
        <w:t>,严格按项目申报表控制资金支出范围、用途,杜绝变相挤占、挪用。</w:t>
      </w:r>
    </w:p>
    <w:p>
      <w:pPr>
        <w:keepNext w:val="0"/>
        <w:keepLines w:val="0"/>
        <w:widowControl w:val="0"/>
        <w:suppressLineNumbers w:val="0"/>
        <w:spacing w:before="0" w:beforeAutospacing="0" w:after="0" w:afterAutospacing="0" w:line="570" w:lineRule="exact"/>
        <w:ind w:left="0" w:right="0" w:firstLine="643" w:firstLineChars="200"/>
        <w:jc w:val="both"/>
        <w:rPr>
          <w:rFonts w:hint="eastAsia" w:ascii="仿宋_GB2312" w:hAnsi="Times New Roman" w:eastAsia="仿宋_GB2312" w:cs="Times New Roman"/>
          <w:b w:val="0"/>
          <w:color w:val="000000"/>
          <w:kern w:val="2"/>
          <w:sz w:val="32"/>
          <w:szCs w:val="32"/>
        </w:rPr>
      </w:pPr>
      <w:r>
        <w:rPr>
          <w:rFonts w:hint="eastAsia" w:ascii="仿宋_GB2312" w:hAnsi="Times New Roman" w:eastAsia="仿宋_GB2312" w:cs="Times New Roman"/>
          <w:b/>
          <w:color w:val="000000"/>
          <w:kern w:val="2"/>
          <w:sz w:val="32"/>
          <w:szCs w:val="32"/>
          <w:lang w:val="en-US" w:eastAsia="zh-CN" w:bidi="ar"/>
        </w:rPr>
        <w:t>2、推进开展绩效评价。</w:t>
      </w:r>
      <w:r>
        <w:rPr>
          <w:rFonts w:hint="eastAsia" w:ascii="仿宋_GB2312" w:hAnsi="Times New Roman" w:eastAsia="仿宋_GB2312" w:cs="仿宋_GB2312"/>
          <w:b w:val="0"/>
          <w:color w:val="000000"/>
          <w:kern w:val="2"/>
          <w:sz w:val="32"/>
          <w:szCs w:val="32"/>
          <w:lang w:val="en-US" w:eastAsia="zh-CN" w:bidi="ar"/>
        </w:rPr>
        <w:t>通过委托第三方或自行组织对项目资金使用情况开展绩效评价，推进绩效评价工作常态化，让</w:t>
      </w:r>
      <w:r>
        <w:rPr>
          <w:rFonts w:hint="eastAsia" w:ascii="仿宋_GB2312" w:hAnsi="Times New Roman" w:eastAsia="仿宋_GB2312" w:cs="Times New Roman"/>
          <w:b w:val="0"/>
          <w:color w:val="000000"/>
          <w:kern w:val="2"/>
          <w:sz w:val="32"/>
          <w:szCs w:val="32"/>
          <w:lang w:val="en-US" w:eastAsia="zh-CN" w:bidi="ar"/>
        </w:rPr>
        <w:t>“花钱必问效，无效必问责”的观念深入人心。</w:t>
      </w:r>
    </w:p>
    <w:p>
      <w:pPr>
        <w:keepNext w:val="0"/>
        <w:keepLines w:val="0"/>
        <w:widowControl w:val="0"/>
        <w:suppressLineNumbers w:val="0"/>
        <w:spacing w:before="0" w:beforeAutospacing="0" w:after="0" w:afterAutospacing="0" w:line="570" w:lineRule="exact"/>
        <w:ind w:left="0" w:right="0" w:firstLine="640" w:firstLineChars="200"/>
        <w:jc w:val="both"/>
        <w:rPr>
          <w:rFonts w:hint="eastAsia" w:ascii="黑体" w:hAnsi="宋体" w:eastAsia="黑体" w:cs="黑体"/>
          <w:b w:val="0"/>
          <w:kern w:val="2"/>
          <w:sz w:val="32"/>
          <w:szCs w:val="32"/>
        </w:rPr>
      </w:pPr>
      <w:r>
        <w:rPr>
          <w:rFonts w:hint="eastAsia" w:ascii="黑体" w:hAnsi="宋体" w:eastAsia="黑体" w:cs="黑体"/>
          <w:b w:val="0"/>
          <w:kern w:val="2"/>
          <w:sz w:val="32"/>
          <w:szCs w:val="32"/>
          <w:lang w:val="en-US" w:eastAsia="zh-CN" w:bidi="ar"/>
        </w:rPr>
        <w:t>六、</w:t>
      </w:r>
      <w:r>
        <w:rPr>
          <w:rFonts w:hint="eastAsia" w:ascii="黑体" w:hAnsi="宋体" w:eastAsia="黑体" w:cs="黑体"/>
          <w:color w:val="000000"/>
          <w:kern w:val="2"/>
          <w:sz w:val="32"/>
          <w:szCs w:val="32"/>
          <w:lang w:val="en-US" w:eastAsia="zh-CN" w:bidi="ar"/>
        </w:rPr>
        <w:t>建议与请求</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eastAsia" w:ascii="仿宋_GB2312" w:eastAsia="仿宋_GB2312" w:cs="仿宋_GB2312"/>
          <w:b w:val="0"/>
          <w:color w:val="000000"/>
          <w:kern w:val="2"/>
          <w:sz w:val="32"/>
          <w:szCs w:val="32"/>
        </w:rPr>
      </w:pPr>
      <w:r>
        <w:rPr>
          <w:rFonts w:hint="eastAsia" w:ascii="仿宋_GB2312" w:hAnsi="Times New Roman" w:eastAsia="仿宋_GB2312" w:cs="仿宋_GB2312"/>
          <w:i w:val="0"/>
          <w:caps w:val="0"/>
          <w:color w:val="646464"/>
          <w:spacing w:val="0"/>
          <w:kern w:val="2"/>
          <w:sz w:val="32"/>
          <w:szCs w:val="32"/>
          <w:lang w:val="en-US" w:eastAsia="zh-CN" w:bidi="ar"/>
        </w:rPr>
        <w:t>机构改革后的应急管理局职能越来越多，责任越来越重，压力越来越大，但原市安监局主管的专项资金规模逾趋减少，随着职能划转应转入的专项资金悬而未决，让部分工作陷入了“巧妇难为无米之炊”的尴尬境地。这不仅阻碍了应急管理及安全生产工作的开展，也在一定程度上打击了应急管理部门干事创业的激情。因此，请求市财政在保证应急管理及安全生产专项资金应有规模的基础上，建立相应的资金增长机制。</w:t>
      </w:r>
    </w:p>
    <w:p>
      <w:pPr>
        <w:ind w:left="640"/>
        <w:jc w:val="left"/>
        <w:rPr>
          <w:rFonts w:ascii="仿宋" w:hAnsi="仿宋" w:eastAsia="仿宋" w:cs="仿宋"/>
          <w:sz w:val="32"/>
        </w:rPr>
      </w:pPr>
    </w:p>
    <w:p>
      <w:pPr>
        <w:ind w:left="640"/>
        <w:jc w:val="left"/>
        <w:rPr>
          <w:rFonts w:hint="eastAsia" w:ascii="仿宋_GB2312" w:hAnsi="仿宋_GB2312" w:eastAsia="仿宋_GB2312" w:cs="仿宋_GB2312"/>
          <w:sz w:val="32"/>
        </w:rPr>
      </w:pPr>
      <w:r>
        <w:rPr>
          <w:rFonts w:hint="eastAsia" w:ascii="仿宋_GB2312" w:hAnsi="仿宋_GB2312" w:eastAsia="仿宋_GB2312" w:cs="仿宋_GB2312"/>
          <w:sz w:val="32"/>
        </w:rPr>
        <w:t>附件：2019年项目支出绩效自评指标计分表</w:t>
      </w:r>
    </w:p>
    <w:p>
      <w:pPr>
        <w:ind w:left="640"/>
        <w:jc w:val="left"/>
        <w:rPr>
          <w:rFonts w:hint="eastAsia" w:ascii="仿宋_GB2312" w:hAnsi="仿宋_GB2312" w:eastAsia="仿宋_GB2312" w:cs="仿宋_GB2312"/>
          <w:sz w:val="32"/>
        </w:rPr>
      </w:pPr>
    </w:p>
    <w:p>
      <w:pPr>
        <w:ind w:left="640"/>
        <w:jc w:val="left"/>
        <w:rPr>
          <w:rFonts w:hint="eastAsia" w:ascii="仿宋_GB2312" w:hAnsi="仿宋_GB2312" w:eastAsia="仿宋_GB2312" w:cs="仿宋_GB2312"/>
          <w:sz w:val="32"/>
        </w:rPr>
      </w:pPr>
    </w:p>
    <w:p>
      <w:pPr>
        <w:ind w:left="640"/>
        <w:jc w:val="left"/>
        <w:rPr>
          <w:rFonts w:hint="eastAsia" w:ascii="仿宋_GB2312" w:hAnsi="仿宋_GB2312" w:eastAsia="仿宋_GB2312" w:cs="仿宋_GB2312"/>
          <w:sz w:val="32"/>
        </w:rPr>
      </w:pPr>
    </w:p>
    <w:p>
      <w:pPr>
        <w:ind w:left="640"/>
        <w:jc w:val="left"/>
        <w:rPr>
          <w:rFonts w:hint="eastAsia" w:ascii="仿宋_GB2312" w:hAnsi="仿宋_GB2312" w:eastAsia="仿宋_GB2312" w:cs="仿宋_GB2312"/>
          <w:sz w:val="32"/>
        </w:rPr>
      </w:pPr>
    </w:p>
    <w:p>
      <w:pPr>
        <w:ind w:left="640"/>
        <w:jc w:val="left"/>
        <w:rPr>
          <w:rFonts w:hint="eastAsia" w:ascii="仿宋_GB2312" w:hAnsi="仿宋_GB2312" w:eastAsia="仿宋_GB2312" w:cs="仿宋_GB2312"/>
          <w:sz w:val="32"/>
        </w:rPr>
      </w:pPr>
    </w:p>
    <w:p>
      <w:pPr>
        <w:ind w:left="640"/>
        <w:jc w:val="left"/>
        <w:rPr>
          <w:rFonts w:hint="eastAsia" w:ascii="仿宋_GB2312" w:hAnsi="仿宋_GB2312" w:eastAsia="仿宋_GB2312" w:cs="仿宋_GB2312"/>
          <w:sz w:val="32"/>
        </w:rPr>
      </w:pPr>
    </w:p>
    <w:p>
      <w:pPr>
        <w:ind w:left="640"/>
        <w:jc w:val="left"/>
        <w:rPr>
          <w:rFonts w:hint="eastAsia" w:ascii="仿宋_GB2312" w:hAnsi="仿宋_GB2312" w:eastAsia="仿宋_GB2312" w:cs="仿宋_GB2312"/>
          <w:sz w:val="32"/>
        </w:rPr>
      </w:pPr>
    </w:p>
    <w:p>
      <w:pPr>
        <w:ind w:left="640"/>
        <w:jc w:val="left"/>
        <w:rPr>
          <w:rFonts w:hint="eastAsia" w:ascii="仿宋_GB2312" w:hAnsi="仿宋_GB2312" w:eastAsia="仿宋_GB2312" w:cs="仿宋_GB2312"/>
          <w:sz w:val="32"/>
        </w:rPr>
      </w:pPr>
    </w:p>
    <w:p>
      <w:pPr>
        <w:spacing w:line="600" w:lineRule="exact"/>
        <w:rPr>
          <w:rFonts w:hint="eastAsia" w:ascii="黑体" w:eastAsia="黑体"/>
          <w:sz w:val="32"/>
          <w:szCs w:val="32"/>
        </w:rPr>
      </w:pPr>
      <w:r>
        <w:rPr>
          <w:rFonts w:hint="eastAsia" w:ascii="黑体" w:eastAsia="黑体"/>
          <w:sz w:val="32"/>
          <w:szCs w:val="32"/>
        </w:rPr>
        <w:t>附件：</w:t>
      </w:r>
    </w:p>
    <w:p>
      <w:pPr>
        <w:widowControl/>
        <w:spacing w:line="240" w:lineRule="exact"/>
        <w:jc w:val="center"/>
        <w:rPr>
          <w:rFonts w:hint="eastAsia" w:ascii="方正小标宋_GBK" w:eastAsia="方正小标宋_GBK"/>
          <w:spacing w:val="-6"/>
          <w:sz w:val="36"/>
          <w:szCs w:val="36"/>
        </w:rPr>
      </w:pPr>
    </w:p>
    <w:tbl>
      <w:tblPr>
        <w:tblStyle w:val="5"/>
        <w:tblW w:w="8938"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6"/>
        <w:gridCol w:w="811"/>
        <w:gridCol w:w="1065"/>
        <w:gridCol w:w="639"/>
        <w:gridCol w:w="2769"/>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9" w:hRule="atLeast"/>
          <w:tblHeader/>
        </w:trPr>
        <w:tc>
          <w:tcPr>
            <w:tcW w:w="8938" w:type="dxa"/>
            <w:gridSpan w:val="6"/>
            <w:tcBorders>
              <w:top w:val="nil"/>
              <w:left w:val="nil"/>
              <w:right w:val="nil"/>
            </w:tcBorders>
            <w:noWrap w:val="0"/>
            <w:vAlign w:val="center"/>
          </w:tcPr>
          <w:p>
            <w:pPr>
              <w:keepNext w:val="0"/>
              <w:keepLines w:val="0"/>
              <w:widowControl/>
              <w:suppressLineNumbers w:val="0"/>
              <w:spacing w:before="0" w:beforeAutospacing="0" w:after="0" w:afterAutospacing="0"/>
              <w:ind w:left="0" w:right="0"/>
              <w:jc w:val="center"/>
              <w:rPr>
                <w:rFonts w:hint="eastAsia" w:ascii="方正小标宋_GBK" w:hAnsi="宋体" w:eastAsia="方正小标宋_GBK" w:cs="宋体"/>
                <w:kern w:val="0"/>
                <w:sz w:val="36"/>
                <w:szCs w:val="36"/>
              </w:rPr>
            </w:pPr>
            <w:r>
              <w:rPr>
                <w:rFonts w:hint="eastAsia" w:ascii="方正小标宋_GBK" w:hAnsi="宋体" w:eastAsia="方正小标宋_GBK" w:cs="宋体"/>
                <w:kern w:val="0"/>
                <w:sz w:val="36"/>
                <w:szCs w:val="36"/>
              </w:rPr>
              <w:t>201</w:t>
            </w:r>
            <w:r>
              <w:rPr>
                <w:rFonts w:hint="eastAsia" w:ascii="方正小标宋_GBK" w:hAnsi="宋体" w:eastAsia="方正小标宋_GBK" w:cs="宋体"/>
                <w:kern w:val="0"/>
                <w:sz w:val="36"/>
                <w:szCs w:val="36"/>
                <w:lang w:val="en-US" w:eastAsia="zh-CN"/>
              </w:rPr>
              <w:t>9</w:t>
            </w:r>
            <w:r>
              <w:rPr>
                <w:rFonts w:hint="eastAsia" w:ascii="方正小标宋_GBK" w:hAnsi="宋体" w:eastAsia="方正小标宋_GBK" w:cs="宋体"/>
                <w:kern w:val="0"/>
                <w:sz w:val="36"/>
                <w:szCs w:val="36"/>
              </w:rPr>
              <w:t>年度项目支出绩效自评指标计分表</w:t>
            </w:r>
          </w:p>
          <w:p>
            <w:pPr>
              <w:keepNext w:val="0"/>
              <w:keepLines w:val="0"/>
              <w:widowControl/>
              <w:suppressLineNumbers w:val="0"/>
              <w:spacing w:before="0" w:beforeAutospacing="0" w:after="0" w:afterAutospacing="0" w:line="260" w:lineRule="exact"/>
              <w:ind w:left="0" w:right="0"/>
              <w:jc w:val="center"/>
              <w:rPr>
                <w:rFonts w:hint="eastAsia" w:ascii="仿宋_GB2312" w:hAnsi="宋体" w:cs="宋体"/>
                <w:b/>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blHeader/>
        </w:trPr>
        <w:tc>
          <w:tcPr>
            <w:tcW w:w="726"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b/>
                <w:kern w:val="0"/>
                <w:sz w:val="20"/>
              </w:rPr>
            </w:pPr>
            <w:r>
              <w:rPr>
                <w:rFonts w:hint="eastAsia" w:ascii="仿宋_GB2312" w:hAnsi="宋体" w:cs="宋体"/>
                <w:b/>
                <w:kern w:val="0"/>
                <w:sz w:val="20"/>
              </w:rPr>
              <w:t>一级指标</w:t>
            </w:r>
          </w:p>
        </w:tc>
        <w:tc>
          <w:tcPr>
            <w:tcW w:w="811" w:type="dxa"/>
            <w:noWrap w:val="0"/>
            <w:vAlign w:val="center"/>
          </w:tcPr>
          <w:p>
            <w:pPr>
              <w:keepNext w:val="0"/>
              <w:keepLines w:val="0"/>
              <w:widowControl/>
              <w:suppressLineNumbers w:val="0"/>
              <w:spacing w:before="0" w:beforeAutospacing="0" w:after="0" w:afterAutospacing="0" w:line="260" w:lineRule="exact"/>
              <w:ind w:left="0" w:right="0"/>
              <w:jc w:val="center"/>
              <w:rPr>
                <w:rFonts w:hint="eastAsia" w:ascii="仿宋_GB2312" w:hAnsi="宋体" w:cs="宋体"/>
                <w:b/>
                <w:kern w:val="0"/>
                <w:sz w:val="20"/>
              </w:rPr>
            </w:pPr>
            <w:r>
              <w:rPr>
                <w:rFonts w:hint="eastAsia" w:ascii="仿宋_GB2312" w:hAnsi="宋体" w:cs="宋体"/>
                <w:b/>
                <w:kern w:val="0"/>
                <w:sz w:val="20"/>
              </w:rPr>
              <w:t>二级</w:t>
            </w:r>
          </w:p>
          <w:p>
            <w:pPr>
              <w:keepNext w:val="0"/>
              <w:keepLines w:val="0"/>
              <w:widowControl/>
              <w:suppressLineNumbers w:val="0"/>
              <w:spacing w:before="0" w:beforeAutospacing="0" w:after="0" w:afterAutospacing="0" w:line="260" w:lineRule="exact"/>
              <w:ind w:left="0" w:right="0"/>
              <w:jc w:val="center"/>
              <w:rPr>
                <w:rFonts w:hint="default" w:ascii="仿宋_GB2312" w:hAnsi="宋体" w:cs="宋体"/>
                <w:b/>
                <w:kern w:val="0"/>
                <w:sz w:val="20"/>
              </w:rPr>
            </w:pPr>
            <w:r>
              <w:rPr>
                <w:rFonts w:hint="eastAsia" w:ascii="仿宋_GB2312" w:hAnsi="宋体" w:cs="宋体"/>
                <w:b/>
                <w:kern w:val="0"/>
                <w:sz w:val="20"/>
              </w:rPr>
              <w:t>指标</w:t>
            </w:r>
          </w:p>
        </w:tc>
        <w:tc>
          <w:tcPr>
            <w:tcW w:w="1065"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b/>
                <w:kern w:val="0"/>
                <w:sz w:val="20"/>
              </w:rPr>
            </w:pPr>
            <w:r>
              <w:rPr>
                <w:rFonts w:hint="eastAsia" w:ascii="仿宋_GB2312" w:hAnsi="宋体" w:cs="宋体"/>
                <w:b/>
                <w:kern w:val="0"/>
                <w:sz w:val="20"/>
              </w:rPr>
              <w:t>三级</w:t>
            </w:r>
          </w:p>
          <w:p>
            <w:pPr>
              <w:keepNext w:val="0"/>
              <w:keepLines w:val="0"/>
              <w:widowControl/>
              <w:suppressLineNumbers w:val="0"/>
              <w:spacing w:before="0" w:beforeAutospacing="0" w:after="0" w:afterAutospacing="0" w:line="260" w:lineRule="exact"/>
              <w:ind w:left="0" w:right="0"/>
              <w:jc w:val="center"/>
              <w:rPr>
                <w:rFonts w:hint="default" w:ascii="仿宋_GB2312" w:hAnsi="宋体" w:cs="宋体"/>
                <w:b/>
                <w:kern w:val="0"/>
                <w:sz w:val="20"/>
              </w:rPr>
            </w:pPr>
            <w:r>
              <w:rPr>
                <w:rFonts w:hint="eastAsia" w:ascii="仿宋_GB2312" w:hAnsi="宋体" w:cs="宋体"/>
                <w:b/>
                <w:kern w:val="0"/>
                <w:sz w:val="20"/>
              </w:rPr>
              <w:t>指标</w:t>
            </w:r>
          </w:p>
        </w:tc>
        <w:tc>
          <w:tcPr>
            <w:tcW w:w="639"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b/>
                <w:kern w:val="0"/>
                <w:sz w:val="20"/>
              </w:rPr>
            </w:pPr>
            <w:r>
              <w:rPr>
                <w:rFonts w:hint="eastAsia" w:ascii="仿宋_GB2312" w:hAnsi="宋体" w:cs="宋体"/>
                <w:b/>
                <w:kern w:val="0"/>
                <w:sz w:val="20"/>
              </w:rPr>
              <w:t>自评分</w:t>
            </w:r>
          </w:p>
        </w:tc>
        <w:tc>
          <w:tcPr>
            <w:tcW w:w="2769"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b/>
                <w:kern w:val="0"/>
                <w:sz w:val="20"/>
              </w:rPr>
            </w:pPr>
            <w:r>
              <w:rPr>
                <w:rFonts w:hint="eastAsia" w:ascii="仿宋_GB2312" w:hAnsi="宋体" w:cs="宋体"/>
                <w:b/>
                <w:kern w:val="0"/>
                <w:sz w:val="20"/>
              </w:rPr>
              <w:t>具体指标</w:t>
            </w:r>
          </w:p>
        </w:tc>
        <w:tc>
          <w:tcPr>
            <w:tcW w:w="2928"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b/>
                <w:kern w:val="0"/>
                <w:sz w:val="20"/>
              </w:rPr>
            </w:pPr>
            <w:r>
              <w:rPr>
                <w:rFonts w:hint="eastAsia" w:ascii="仿宋_GB2312" w:hAnsi="宋体" w:cs="宋体"/>
                <w:b/>
                <w:kern w:val="0"/>
                <w:sz w:val="20"/>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726" w:type="dxa"/>
            <w:vMerge w:val="restart"/>
            <w:noWrap w:val="0"/>
            <w:vAlign w:val="center"/>
          </w:tcPr>
          <w:p>
            <w:pPr>
              <w:keepNext w:val="0"/>
              <w:keepLines w:val="0"/>
              <w:widowControl/>
              <w:suppressLineNumbers w:val="0"/>
              <w:spacing w:before="0" w:beforeAutospacing="0" w:after="0" w:afterAutospacing="0" w:line="260" w:lineRule="exact"/>
              <w:ind w:left="0" w:right="0"/>
              <w:jc w:val="center"/>
              <w:rPr>
                <w:rFonts w:hint="eastAsia" w:ascii="仿宋_GB2312" w:hAnsi="宋体" w:cs="宋体"/>
                <w:kern w:val="0"/>
                <w:sz w:val="20"/>
              </w:rPr>
            </w:pPr>
            <w:r>
              <w:rPr>
                <w:rFonts w:hint="eastAsia" w:ascii="仿宋_GB2312" w:hAnsi="宋体" w:cs="宋体"/>
                <w:kern w:val="0"/>
                <w:sz w:val="20"/>
              </w:rPr>
              <w:t>项目</w:t>
            </w:r>
          </w:p>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决策（20分）</w:t>
            </w:r>
          </w:p>
        </w:tc>
        <w:tc>
          <w:tcPr>
            <w:tcW w:w="811"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项目</w:t>
            </w:r>
          </w:p>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目标（4分）</w:t>
            </w:r>
          </w:p>
        </w:tc>
        <w:tc>
          <w:tcPr>
            <w:tcW w:w="1065"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目标</w:t>
            </w:r>
          </w:p>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内容（4分）</w:t>
            </w:r>
          </w:p>
        </w:tc>
        <w:tc>
          <w:tcPr>
            <w:tcW w:w="639" w:type="dxa"/>
            <w:noWrap w:val="0"/>
            <w:vAlign w:val="center"/>
          </w:tcPr>
          <w:p>
            <w:pPr>
              <w:keepNext w:val="0"/>
              <w:keepLines w:val="0"/>
              <w:widowControl/>
              <w:suppressLineNumbers w:val="0"/>
              <w:spacing w:before="0" w:beforeAutospacing="0" w:after="0" w:afterAutospacing="0" w:line="260" w:lineRule="exact"/>
              <w:ind w:left="0" w:right="0"/>
              <w:jc w:val="center"/>
              <w:rPr>
                <w:rFonts w:hint="eastAsia" w:ascii="仿宋_GB2312" w:hAnsi="宋体" w:eastAsia="仿宋_GB2312" w:cs="宋体"/>
                <w:kern w:val="0"/>
                <w:sz w:val="20"/>
                <w:lang w:val="en-US" w:eastAsia="zh-CN"/>
              </w:rPr>
            </w:pPr>
            <w:r>
              <w:rPr>
                <w:rFonts w:hint="eastAsia" w:ascii="仿宋_GB2312" w:hAnsi="宋体" w:cs="宋体"/>
                <w:kern w:val="0"/>
                <w:sz w:val="20"/>
                <w:lang w:val="en-US" w:eastAsia="zh-CN"/>
              </w:rPr>
              <w:t>3</w:t>
            </w:r>
          </w:p>
        </w:tc>
        <w:tc>
          <w:tcPr>
            <w:tcW w:w="2769" w:type="dxa"/>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设立了项目绩效目标；目标明确；目标细化；目标量化</w:t>
            </w:r>
          </w:p>
        </w:tc>
        <w:tc>
          <w:tcPr>
            <w:tcW w:w="2928" w:type="dxa"/>
            <w:noWrap w:val="0"/>
            <w:vAlign w:val="center"/>
          </w:tcPr>
          <w:p>
            <w:pPr>
              <w:keepNext w:val="0"/>
              <w:keepLines w:val="0"/>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 xml:space="preserve">设有目标（1分）   </w:t>
            </w:r>
          </w:p>
          <w:p>
            <w:pPr>
              <w:keepNext w:val="0"/>
              <w:keepLines w:val="0"/>
              <w:suppressLineNumbers w:val="0"/>
              <w:spacing w:before="0" w:beforeAutospacing="0" w:after="0" w:afterAutospacing="0" w:line="260" w:lineRule="exact"/>
              <w:ind w:left="0" w:right="0"/>
              <w:jc w:val="left"/>
              <w:rPr>
                <w:rFonts w:hint="eastAsia" w:ascii="仿宋_GB2312" w:hAnsi="宋体" w:cs="宋体"/>
                <w:kern w:val="0"/>
                <w:sz w:val="20"/>
              </w:rPr>
            </w:pPr>
            <w:r>
              <w:rPr>
                <w:rFonts w:hint="eastAsia" w:ascii="仿宋_GB2312" w:hAnsi="宋体" w:cs="宋体"/>
                <w:kern w:val="0"/>
                <w:sz w:val="20"/>
              </w:rPr>
              <w:t xml:space="preserve">目标明确（1分）   </w:t>
            </w:r>
          </w:p>
          <w:p>
            <w:pPr>
              <w:keepNext w:val="0"/>
              <w:keepLines w:val="0"/>
              <w:suppressLineNumbers w:val="0"/>
              <w:spacing w:before="0" w:beforeAutospacing="0" w:after="0" w:afterAutospacing="0" w:line="260" w:lineRule="exact"/>
              <w:ind w:left="0" w:right="0"/>
              <w:jc w:val="left"/>
              <w:rPr>
                <w:rFonts w:hint="eastAsia" w:ascii="仿宋_GB2312" w:hAnsi="宋体" w:cs="宋体"/>
                <w:kern w:val="0"/>
                <w:sz w:val="20"/>
              </w:rPr>
            </w:pPr>
            <w:r>
              <w:rPr>
                <w:rFonts w:hint="eastAsia" w:ascii="仿宋_GB2312" w:hAnsi="宋体" w:cs="宋体"/>
                <w:kern w:val="0"/>
                <w:sz w:val="20"/>
              </w:rPr>
              <w:t xml:space="preserve">目标细化（1分）    </w:t>
            </w:r>
          </w:p>
          <w:p>
            <w:pPr>
              <w:keepNext w:val="0"/>
              <w:keepLines w:val="0"/>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目标量化（1分）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726" w:type="dxa"/>
            <w:vMerge w:val="continue"/>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p>
        </w:tc>
        <w:tc>
          <w:tcPr>
            <w:tcW w:w="811" w:type="dxa"/>
            <w:vMerge w:val="restart"/>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决策过程（8分）</w:t>
            </w:r>
          </w:p>
        </w:tc>
        <w:tc>
          <w:tcPr>
            <w:tcW w:w="1065"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决策</w:t>
            </w:r>
          </w:p>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依据（4分）</w:t>
            </w:r>
          </w:p>
        </w:tc>
        <w:tc>
          <w:tcPr>
            <w:tcW w:w="639" w:type="dxa"/>
            <w:noWrap w:val="0"/>
            <w:vAlign w:val="center"/>
          </w:tcPr>
          <w:p>
            <w:pPr>
              <w:keepNext w:val="0"/>
              <w:keepLines w:val="0"/>
              <w:widowControl/>
              <w:suppressLineNumbers w:val="0"/>
              <w:spacing w:before="0" w:beforeAutospacing="0" w:after="0" w:afterAutospacing="0" w:line="260" w:lineRule="exact"/>
              <w:ind w:left="0" w:right="0"/>
              <w:jc w:val="center"/>
              <w:rPr>
                <w:rFonts w:hint="eastAsia" w:ascii="仿宋_GB2312" w:hAnsi="宋体" w:eastAsia="仿宋_GB2312" w:cs="宋体"/>
                <w:kern w:val="0"/>
                <w:sz w:val="20"/>
                <w:lang w:val="en-US" w:eastAsia="zh-CN"/>
              </w:rPr>
            </w:pPr>
            <w:r>
              <w:rPr>
                <w:rFonts w:hint="eastAsia" w:ascii="仿宋_GB2312" w:hAnsi="宋体" w:cs="宋体"/>
                <w:kern w:val="0"/>
                <w:sz w:val="20"/>
                <w:lang w:val="en-US" w:eastAsia="zh-CN"/>
              </w:rPr>
              <w:t>4</w:t>
            </w:r>
          </w:p>
        </w:tc>
        <w:tc>
          <w:tcPr>
            <w:tcW w:w="2769"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有关法律法规的明确规定；某一经济社会发展规划；某部门年度工作计划；某一实际问题和需求</w:t>
            </w:r>
          </w:p>
        </w:tc>
        <w:tc>
          <w:tcPr>
            <w:tcW w:w="2928"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符合法律法规（1分）符合经济社会发展规划（1分）</w:t>
            </w:r>
          </w:p>
          <w:p>
            <w:pPr>
              <w:keepNext w:val="0"/>
              <w:keepLines w:val="0"/>
              <w:widowControl/>
              <w:suppressLineNumbers w:val="0"/>
              <w:spacing w:before="0" w:beforeAutospacing="0" w:after="0" w:afterAutospacing="0" w:line="260" w:lineRule="exact"/>
              <w:ind w:left="0" w:right="0"/>
              <w:jc w:val="left"/>
              <w:rPr>
                <w:rFonts w:hint="eastAsia" w:ascii="仿宋_GB2312" w:hAnsi="宋体" w:cs="宋体"/>
                <w:kern w:val="0"/>
                <w:sz w:val="20"/>
              </w:rPr>
            </w:pPr>
            <w:r>
              <w:rPr>
                <w:rFonts w:hint="eastAsia" w:ascii="仿宋_GB2312" w:hAnsi="宋体" w:cs="宋体"/>
                <w:kern w:val="0"/>
                <w:sz w:val="20"/>
              </w:rPr>
              <w:t>部门年度工作计划（1分）</w:t>
            </w:r>
          </w:p>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针对某一实际问题和需求（1分）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726" w:type="dxa"/>
            <w:vMerge w:val="continue"/>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p>
        </w:tc>
        <w:tc>
          <w:tcPr>
            <w:tcW w:w="811" w:type="dxa"/>
            <w:vMerge w:val="continue"/>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p>
        </w:tc>
        <w:tc>
          <w:tcPr>
            <w:tcW w:w="1065"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决策</w:t>
            </w:r>
          </w:p>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程序（4分）</w:t>
            </w:r>
          </w:p>
        </w:tc>
        <w:tc>
          <w:tcPr>
            <w:tcW w:w="639" w:type="dxa"/>
            <w:noWrap w:val="0"/>
            <w:vAlign w:val="center"/>
          </w:tcPr>
          <w:p>
            <w:pPr>
              <w:keepNext w:val="0"/>
              <w:keepLines w:val="0"/>
              <w:widowControl/>
              <w:suppressLineNumbers w:val="0"/>
              <w:spacing w:before="0" w:beforeAutospacing="0" w:after="0" w:afterAutospacing="0" w:line="260" w:lineRule="exact"/>
              <w:ind w:left="0" w:right="0"/>
              <w:jc w:val="center"/>
              <w:rPr>
                <w:rFonts w:hint="eastAsia" w:ascii="仿宋_GB2312" w:hAnsi="宋体" w:eastAsia="仿宋_GB2312" w:cs="宋体"/>
                <w:kern w:val="0"/>
                <w:sz w:val="20"/>
                <w:lang w:val="en-US" w:eastAsia="zh-CN"/>
              </w:rPr>
            </w:pPr>
            <w:r>
              <w:rPr>
                <w:rFonts w:hint="eastAsia" w:ascii="仿宋_GB2312" w:hAnsi="宋体" w:cs="宋体"/>
                <w:kern w:val="0"/>
                <w:sz w:val="20"/>
                <w:lang w:val="en-US" w:eastAsia="zh-CN"/>
              </w:rPr>
              <w:t>4</w:t>
            </w:r>
          </w:p>
        </w:tc>
        <w:tc>
          <w:tcPr>
            <w:tcW w:w="2769"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项目符合申报条件；申报、批复程序符合相关管理办法；项目调整履行了相应手续</w:t>
            </w:r>
          </w:p>
        </w:tc>
        <w:tc>
          <w:tcPr>
            <w:tcW w:w="2928"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符合申报条件（2分）项目申报、批复程序符合管理办法（1分）</w:t>
            </w:r>
          </w:p>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项目调整履行了相应手续（1分）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726" w:type="dxa"/>
            <w:vMerge w:val="continue"/>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p>
        </w:tc>
        <w:tc>
          <w:tcPr>
            <w:tcW w:w="811" w:type="dxa"/>
            <w:vMerge w:val="restart"/>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资金分配（8分）</w:t>
            </w:r>
          </w:p>
        </w:tc>
        <w:tc>
          <w:tcPr>
            <w:tcW w:w="1065"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分配</w:t>
            </w:r>
          </w:p>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办法（3分）</w:t>
            </w:r>
          </w:p>
        </w:tc>
        <w:tc>
          <w:tcPr>
            <w:tcW w:w="639" w:type="dxa"/>
            <w:noWrap w:val="0"/>
            <w:vAlign w:val="center"/>
          </w:tcPr>
          <w:p>
            <w:pPr>
              <w:keepNext w:val="0"/>
              <w:keepLines w:val="0"/>
              <w:widowControl/>
              <w:suppressLineNumbers w:val="0"/>
              <w:spacing w:before="0" w:beforeAutospacing="0" w:after="0" w:afterAutospacing="0" w:line="260" w:lineRule="exact"/>
              <w:ind w:left="0" w:right="0"/>
              <w:jc w:val="center"/>
              <w:rPr>
                <w:rFonts w:hint="eastAsia" w:ascii="仿宋_GB2312" w:hAnsi="宋体" w:eastAsia="仿宋_GB2312" w:cs="宋体"/>
                <w:kern w:val="0"/>
                <w:sz w:val="20"/>
                <w:lang w:val="en-US" w:eastAsia="zh-CN"/>
              </w:rPr>
            </w:pPr>
            <w:r>
              <w:rPr>
                <w:rFonts w:hint="eastAsia" w:ascii="仿宋_GB2312" w:hAnsi="宋体" w:cs="宋体"/>
                <w:kern w:val="0"/>
                <w:sz w:val="20"/>
                <w:lang w:val="en-US" w:eastAsia="zh-CN"/>
              </w:rPr>
              <w:t>3</w:t>
            </w:r>
          </w:p>
        </w:tc>
        <w:tc>
          <w:tcPr>
            <w:tcW w:w="2769"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根据需要制定的相关资金管理办法；管理办法中有明确资金分配办法；资金分配因素全面、合理</w:t>
            </w:r>
          </w:p>
        </w:tc>
        <w:tc>
          <w:tcPr>
            <w:tcW w:w="2928"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有相应的资金管理办法（1分）</w:t>
            </w:r>
          </w:p>
          <w:p>
            <w:pPr>
              <w:keepNext w:val="0"/>
              <w:keepLines w:val="0"/>
              <w:widowControl/>
              <w:suppressLineNumbers w:val="0"/>
              <w:spacing w:before="0" w:beforeAutospacing="0" w:after="0" w:afterAutospacing="0" w:line="260" w:lineRule="exact"/>
              <w:ind w:left="0" w:right="0"/>
              <w:jc w:val="left"/>
              <w:rPr>
                <w:rFonts w:hint="eastAsia" w:ascii="仿宋_GB2312" w:hAnsi="宋体" w:cs="宋体"/>
                <w:kern w:val="0"/>
                <w:sz w:val="20"/>
              </w:rPr>
            </w:pPr>
            <w:r>
              <w:rPr>
                <w:rFonts w:hint="eastAsia" w:ascii="仿宋_GB2312" w:hAnsi="宋体" w:cs="宋体"/>
                <w:kern w:val="0"/>
                <w:sz w:val="20"/>
              </w:rPr>
              <w:t>办法健全、规范（1分）</w:t>
            </w:r>
          </w:p>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因素全面合理（1分）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726" w:type="dxa"/>
            <w:vMerge w:val="continue"/>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p>
        </w:tc>
        <w:tc>
          <w:tcPr>
            <w:tcW w:w="811" w:type="dxa"/>
            <w:vMerge w:val="continue"/>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p>
        </w:tc>
        <w:tc>
          <w:tcPr>
            <w:tcW w:w="1065"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分配</w:t>
            </w:r>
          </w:p>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结果（5分）</w:t>
            </w:r>
          </w:p>
        </w:tc>
        <w:tc>
          <w:tcPr>
            <w:tcW w:w="639" w:type="dxa"/>
            <w:noWrap w:val="0"/>
            <w:vAlign w:val="center"/>
          </w:tcPr>
          <w:p>
            <w:pPr>
              <w:keepNext w:val="0"/>
              <w:keepLines w:val="0"/>
              <w:widowControl/>
              <w:suppressLineNumbers w:val="0"/>
              <w:spacing w:before="0" w:beforeAutospacing="0" w:after="0" w:afterAutospacing="0" w:line="260" w:lineRule="exact"/>
              <w:ind w:left="0" w:right="0"/>
              <w:jc w:val="center"/>
              <w:rPr>
                <w:rFonts w:hint="eastAsia" w:ascii="仿宋_GB2312" w:hAnsi="宋体" w:eastAsia="仿宋_GB2312" w:cs="宋体"/>
                <w:kern w:val="0"/>
                <w:sz w:val="20"/>
                <w:lang w:val="en-US" w:eastAsia="zh-CN"/>
              </w:rPr>
            </w:pPr>
            <w:r>
              <w:rPr>
                <w:rFonts w:hint="eastAsia" w:ascii="仿宋_GB2312" w:hAnsi="宋体" w:cs="宋体"/>
                <w:kern w:val="0"/>
                <w:sz w:val="20"/>
                <w:lang w:val="en-US" w:eastAsia="zh-CN"/>
              </w:rPr>
              <w:t>5</w:t>
            </w:r>
          </w:p>
        </w:tc>
        <w:tc>
          <w:tcPr>
            <w:tcW w:w="2769"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资金分配符合相关管理办法；分配结果公平合理</w:t>
            </w:r>
          </w:p>
        </w:tc>
        <w:tc>
          <w:tcPr>
            <w:tcW w:w="2928"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符合分配办法（2分）</w:t>
            </w:r>
          </w:p>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分配公平合理（3分）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726" w:type="dxa"/>
            <w:vMerge w:val="restart"/>
            <w:noWrap w:val="0"/>
            <w:vAlign w:val="center"/>
          </w:tcPr>
          <w:p>
            <w:pPr>
              <w:keepNext w:val="0"/>
              <w:keepLines w:val="0"/>
              <w:widowControl/>
              <w:suppressLineNumbers w:val="0"/>
              <w:spacing w:before="0" w:beforeAutospacing="0" w:after="0" w:afterAutospacing="0" w:line="260" w:lineRule="exact"/>
              <w:ind w:left="0" w:right="0"/>
              <w:jc w:val="center"/>
              <w:rPr>
                <w:rFonts w:hint="eastAsia" w:ascii="仿宋_GB2312" w:hAnsi="宋体" w:cs="宋体"/>
                <w:kern w:val="0"/>
                <w:sz w:val="20"/>
              </w:rPr>
            </w:pPr>
            <w:r>
              <w:rPr>
                <w:rFonts w:hint="eastAsia" w:ascii="仿宋_GB2312" w:hAnsi="宋体" w:cs="宋体"/>
                <w:kern w:val="0"/>
                <w:sz w:val="20"/>
              </w:rPr>
              <w:t>项目</w:t>
            </w:r>
          </w:p>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管理 （25分）</w:t>
            </w:r>
          </w:p>
        </w:tc>
        <w:tc>
          <w:tcPr>
            <w:tcW w:w="811" w:type="dxa"/>
            <w:vMerge w:val="restart"/>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资金到位（5分）</w:t>
            </w:r>
          </w:p>
        </w:tc>
        <w:tc>
          <w:tcPr>
            <w:tcW w:w="1065"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到位率（3分）</w:t>
            </w:r>
          </w:p>
        </w:tc>
        <w:tc>
          <w:tcPr>
            <w:tcW w:w="639" w:type="dxa"/>
            <w:noWrap w:val="0"/>
            <w:vAlign w:val="center"/>
          </w:tcPr>
          <w:p>
            <w:pPr>
              <w:keepNext w:val="0"/>
              <w:keepLines w:val="0"/>
              <w:widowControl/>
              <w:suppressLineNumbers w:val="0"/>
              <w:spacing w:before="0" w:beforeAutospacing="0" w:after="0" w:afterAutospacing="0" w:line="260" w:lineRule="exact"/>
              <w:ind w:left="0" w:right="0"/>
              <w:jc w:val="center"/>
              <w:rPr>
                <w:rFonts w:hint="eastAsia" w:ascii="仿宋_GB2312" w:hAnsi="宋体" w:eastAsia="仿宋_GB2312" w:cs="宋体"/>
                <w:kern w:val="0"/>
                <w:sz w:val="20"/>
                <w:lang w:val="en-US" w:eastAsia="zh-CN"/>
              </w:rPr>
            </w:pPr>
            <w:r>
              <w:rPr>
                <w:rFonts w:hint="eastAsia" w:ascii="仿宋_GB2312" w:hAnsi="宋体" w:cs="宋体"/>
                <w:kern w:val="0"/>
                <w:sz w:val="20"/>
                <w:lang w:val="en-US" w:eastAsia="zh-CN"/>
              </w:rPr>
              <w:t>3</w:t>
            </w:r>
          </w:p>
        </w:tc>
        <w:tc>
          <w:tcPr>
            <w:tcW w:w="2769"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实际到位/计划到位*100%</w:t>
            </w:r>
          </w:p>
        </w:tc>
        <w:tc>
          <w:tcPr>
            <w:tcW w:w="2928"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根据项目资金的实际到位率计算得分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726" w:type="dxa"/>
            <w:vMerge w:val="continue"/>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p>
        </w:tc>
        <w:tc>
          <w:tcPr>
            <w:tcW w:w="811" w:type="dxa"/>
            <w:vMerge w:val="continue"/>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p>
        </w:tc>
        <w:tc>
          <w:tcPr>
            <w:tcW w:w="1065"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到位</w:t>
            </w:r>
          </w:p>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时效（2分）</w:t>
            </w:r>
          </w:p>
        </w:tc>
        <w:tc>
          <w:tcPr>
            <w:tcW w:w="639"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eastAsia="仿宋_GB2312" w:cs="宋体"/>
                <w:kern w:val="0"/>
                <w:sz w:val="20"/>
                <w:lang w:val="en-US" w:eastAsia="zh-CN"/>
              </w:rPr>
            </w:pPr>
            <w:r>
              <w:rPr>
                <w:rFonts w:hint="eastAsia" w:ascii="仿宋_GB2312" w:hAnsi="宋体" w:cs="宋体"/>
                <w:kern w:val="0"/>
                <w:sz w:val="20"/>
                <w:lang w:val="en-US" w:eastAsia="zh-CN"/>
              </w:rPr>
              <w:t>1.5</w:t>
            </w:r>
          </w:p>
        </w:tc>
        <w:tc>
          <w:tcPr>
            <w:tcW w:w="2769"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资金及时到位；若未及时到位，是否影响项目进度</w:t>
            </w:r>
          </w:p>
        </w:tc>
        <w:tc>
          <w:tcPr>
            <w:tcW w:w="2928"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到位及时（2分）</w:t>
            </w:r>
          </w:p>
          <w:p>
            <w:pPr>
              <w:keepNext w:val="0"/>
              <w:keepLines w:val="0"/>
              <w:widowControl/>
              <w:suppressLineNumbers w:val="0"/>
              <w:spacing w:before="0" w:beforeAutospacing="0" w:after="0" w:afterAutospacing="0" w:line="260" w:lineRule="exact"/>
              <w:ind w:left="0" w:right="0"/>
              <w:jc w:val="left"/>
              <w:rPr>
                <w:rFonts w:hint="eastAsia" w:ascii="仿宋_GB2312" w:hAnsi="宋体" w:cs="宋体"/>
                <w:kern w:val="0"/>
                <w:sz w:val="20"/>
              </w:rPr>
            </w:pPr>
            <w:r>
              <w:rPr>
                <w:rFonts w:hint="eastAsia" w:ascii="仿宋_GB2312" w:hAnsi="宋体" w:cs="宋体"/>
                <w:kern w:val="0"/>
                <w:sz w:val="20"/>
              </w:rPr>
              <w:t>不及时但未影响项目进度 （1分）</w:t>
            </w:r>
          </w:p>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不及时并影响项目进度（0.5分）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726" w:type="dxa"/>
            <w:vMerge w:val="continue"/>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p>
        </w:tc>
        <w:tc>
          <w:tcPr>
            <w:tcW w:w="811" w:type="dxa"/>
            <w:vMerge w:val="restart"/>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资金管理（10分）</w:t>
            </w:r>
          </w:p>
        </w:tc>
        <w:tc>
          <w:tcPr>
            <w:tcW w:w="1065"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资金</w:t>
            </w:r>
          </w:p>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使用（7分）</w:t>
            </w:r>
          </w:p>
        </w:tc>
        <w:tc>
          <w:tcPr>
            <w:tcW w:w="639" w:type="dxa"/>
            <w:noWrap w:val="0"/>
            <w:vAlign w:val="center"/>
          </w:tcPr>
          <w:p>
            <w:pPr>
              <w:keepNext w:val="0"/>
              <w:keepLines w:val="0"/>
              <w:widowControl/>
              <w:suppressLineNumbers w:val="0"/>
              <w:spacing w:before="0" w:beforeAutospacing="0" w:after="0" w:afterAutospacing="0" w:line="260" w:lineRule="exact"/>
              <w:ind w:left="0" w:right="0"/>
              <w:jc w:val="center"/>
              <w:rPr>
                <w:rFonts w:hint="eastAsia" w:ascii="仿宋_GB2312" w:hAnsi="宋体" w:eastAsia="仿宋_GB2312" w:cs="宋体"/>
                <w:kern w:val="0"/>
                <w:sz w:val="20"/>
                <w:lang w:val="en-US" w:eastAsia="zh-CN"/>
              </w:rPr>
            </w:pPr>
            <w:r>
              <w:rPr>
                <w:rFonts w:hint="eastAsia" w:ascii="仿宋_GB2312" w:hAnsi="宋体" w:cs="宋体"/>
                <w:kern w:val="0"/>
                <w:sz w:val="20"/>
                <w:lang w:val="en-US" w:eastAsia="zh-CN"/>
              </w:rPr>
              <w:t>7</w:t>
            </w:r>
          </w:p>
        </w:tc>
        <w:tc>
          <w:tcPr>
            <w:tcW w:w="2769"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支出依据合规，无虚列项目支出情况；无截留挤占挪用情况；无超标准开支情况；无超预算情况</w:t>
            </w:r>
          </w:p>
        </w:tc>
        <w:tc>
          <w:tcPr>
            <w:tcW w:w="2928"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 xml:space="preserve">虚列套取扣4-7分 </w:t>
            </w:r>
          </w:p>
          <w:p>
            <w:pPr>
              <w:keepNext w:val="0"/>
              <w:keepLines w:val="0"/>
              <w:widowControl/>
              <w:suppressLineNumbers w:val="0"/>
              <w:spacing w:before="0" w:beforeAutospacing="0" w:after="0" w:afterAutospacing="0" w:line="260" w:lineRule="exact"/>
              <w:ind w:left="0" w:right="0"/>
              <w:jc w:val="left"/>
              <w:rPr>
                <w:rFonts w:hint="eastAsia" w:ascii="仿宋_GB2312" w:hAnsi="宋体" w:cs="宋体"/>
                <w:kern w:val="0"/>
                <w:sz w:val="20"/>
              </w:rPr>
            </w:pPr>
            <w:r>
              <w:rPr>
                <w:rFonts w:hint="eastAsia" w:ascii="仿宋_GB2312" w:hAnsi="宋体" w:cs="宋体"/>
                <w:kern w:val="0"/>
                <w:sz w:val="20"/>
              </w:rPr>
              <w:t>依据不合规扣2分</w:t>
            </w:r>
          </w:p>
          <w:p>
            <w:pPr>
              <w:keepNext w:val="0"/>
              <w:keepLines w:val="0"/>
              <w:widowControl/>
              <w:suppressLineNumbers w:val="0"/>
              <w:spacing w:before="0" w:beforeAutospacing="0" w:after="0" w:afterAutospacing="0" w:line="260" w:lineRule="exact"/>
              <w:ind w:left="0" w:right="0"/>
              <w:jc w:val="left"/>
              <w:rPr>
                <w:rFonts w:hint="eastAsia" w:ascii="仿宋_GB2312" w:hAnsi="宋体" w:cs="宋体"/>
                <w:kern w:val="0"/>
                <w:sz w:val="20"/>
              </w:rPr>
            </w:pPr>
            <w:r>
              <w:rPr>
                <w:rFonts w:hint="eastAsia" w:ascii="仿宋_GB2312" w:hAnsi="宋体" w:cs="宋体"/>
                <w:kern w:val="0"/>
                <w:sz w:val="20"/>
              </w:rPr>
              <w:t>截留、挤占、挪用    扣3-6分</w:t>
            </w:r>
          </w:p>
          <w:p>
            <w:pPr>
              <w:keepNext w:val="0"/>
              <w:keepLines w:val="0"/>
              <w:widowControl/>
              <w:suppressLineNumbers w:val="0"/>
              <w:spacing w:before="0" w:beforeAutospacing="0" w:after="0" w:afterAutospacing="0" w:line="260" w:lineRule="exact"/>
              <w:ind w:left="0" w:right="0"/>
              <w:jc w:val="left"/>
              <w:rPr>
                <w:rFonts w:hint="eastAsia" w:ascii="仿宋_GB2312" w:hAnsi="宋体" w:cs="宋体"/>
                <w:kern w:val="0"/>
                <w:sz w:val="20"/>
              </w:rPr>
            </w:pPr>
            <w:r>
              <w:rPr>
                <w:rFonts w:hint="eastAsia" w:ascii="仿宋_GB2312" w:hAnsi="宋体" w:cs="宋体"/>
                <w:kern w:val="0"/>
                <w:sz w:val="20"/>
              </w:rPr>
              <w:t>超标准开支扣2-5分</w:t>
            </w:r>
          </w:p>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超预算扣2-5分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726" w:type="dxa"/>
            <w:vMerge w:val="continue"/>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p>
        </w:tc>
        <w:tc>
          <w:tcPr>
            <w:tcW w:w="811" w:type="dxa"/>
            <w:vMerge w:val="continue"/>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p>
        </w:tc>
        <w:tc>
          <w:tcPr>
            <w:tcW w:w="1065"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财务</w:t>
            </w:r>
          </w:p>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管理（3分）</w:t>
            </w:r>
          </w:p>
        </w:tc>
        <w:tc>
          <w:tcPr>
            <w:tcW w:w="639" w:type="dxa"/>
            <w:noWrap w:val="0"/>
            <w:vAlign w:val="center"/>
          </w:tcPr>
          <w:p>
            <w:pPr>
              <w:keepNext w:val="0"/>
              <w:keepLines w:val="0"/>
              <w:widowControl/>
              <w:suppressLineNumbers w:val="0"/>
              <w:spacing w:before="0" w:beforeAutospacing="0" w:after="0" w:afterAutospacing="0" w:line="260" w:lineRule="exact"/>
              <w:ind w:left="0" w:right="0"/>
              <w:jc w:val="center"/>
              <w:rPr>
                <w:rFonts w:hint="eastAsia" w:ascii="仿宋_GB2312" w:hAnsi="宋体" w:eastAsia="仿宋_GB2312" w:cs="宋体"/>
                <w:kern w:val="0"/>
                <w:sz w:val="20"/>
                <w:lang w:val="en-US" w:eastAsia="zh-CN"/>
              </w:rPr>
            </w:pPr>
            <w:r>
              <w:rPr>
                <w:rFonts w:hint="eastAsia" w:ascii="仿宋_GB2312" w:hAnsi="宋体" w:cs="宋体"/>
                <w:kern w:val="0"/>
                <w:sz w:val="20"/>
                <w:lang w:val="en-US" w:eastAsia="zh-CN"/>
              </w:rPr>
              <w:t>3</w:t>
            </w:r>
          </w:p>
        </w:tc>
        <w:tc>
          <w:tcPr>
            <w:tcW w:w="2769"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资金管理、费用支出等制度健全；制度执行严格；会计核算规范</w:t>
            </w:r>
          </w:p>
        </w:tc>
        <w:tc>
          <w:tcPr>
            <w:tcW w:w="2928"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财务制度健全（1分）严格执行制度（1分）会计核算规范（1分）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5" w:hRule="atLeast"/>
        </w:trPr>
        <w:tc>
          <w:tcPr>
            <w:tcW w:w="726" w:type="dxa"/>
            <w:vMerge w:val="continue"/>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p>
        </w:tc>
        <w:tc>
          <w:tcPr>
            <w:tcW w:w="811" w:type="dxa"/>
            <w:vMerge w:val="restart"/>
            <w:noWrap w:val="0"/>
            <w:vAlign w:val="center"/>
          </w:tcPr>
          <w:p>
            <w:pPr>
              <w:keepNext w:val="0"/>
              <w:keepLines w:val="0"/>
              <w:widowControl/>
              <w:suppressLineNumbers w:val="0"/>
              <w:spacing w:before="0" w:beforeAutospacing="0" w:after="0" w:afterAutospacing="0" w:line="260" w:lineRule="exact"/>
              <w:ind w:left="0" w:right="0"/>
              <w:jc w:val="center"/>
              <w:rPr>
                <w:rFonts w:hint="eastAsia" w:ascii="仿宋_GB2312" w:hAnsi="宋体" w:cs="宋体"/>
                <w:kern w:val="0"/>
                <w:sz w:val="20"/>
              </w:rPr>
            </w:pPr>
            <w:r>
              <w:rPr>
                <w:rFonts w:hint="eastAsia" w:ascii="仿宋_GB2312" w:hAnsi="宋体" w:cs="宋体"/>
                <w:kern w:val="0"/>
                <w:sz w:val="20"/>
              </w:rPr>
              <w:t>组织</w:t>
            </w:r>
          </w:p>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实施（10分）</w:t>
            </w:r>
          </w:p>
        </w:tc>
        <w:tc>
          <w:tcPr>
            <w:tcW w:w="1065"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组织</w:t>
            </w:r>
          </w:p>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机构（1分）</w:t>
            </w:r>
          </w:p>
        </w:tc>
        <w:tc>
          <w:tcPr>
            <w:tcW w:w="639" w:type="dxa"/>
            <w:noWrap w:val="0"/>
            <w:vAlign w:val="center"/>
          </w:tcPr>
          <w:p>
            <w:pPr>
              <w:keepNext w:val="0"/>
              <w:keepLines w:val="0"/>
              <w:widowControl/>
              <w:suppressLineNumbers w:val="0"/>
              <w:spacing w:before="0" w:beforeAutospacing="0" w:after="0" w:afterAutospacing="0" w:line="260" w:lineRule="exact"/>
              <w:ind w:left="0" w:right="0"/>
              <w:jc w:val="center"/>
              <w:rPr>
                <w:rFonts w:hint="eastAsia" w:ascii="仿宋_GB2312" w:hAnsi="宋体" w:eastAsia="仿宋_GB2312" w:cs="宋体"/>
                <w:kern w:val="0"/>
                <w:sz w:val="20"/>
                <w:lang w:val="en-US" w:eastAsia="zh-CN"/>
              </w:rPr>
            </w:pPr>
            <w:r>
              <w:rPr>
                <w:rFonts w:hint="eastAsia" w:ascii="仿宋_GB2312" w:hAnsi="宋体" w:cs="宋体"/>
                <w:kern w:val="0"/>
                <w:sz w:val="20"/>
                <w:lang w:val="en-US" w:eastAsia="zh-CN"/>
              </w:rPr>
              <w:t>1</w:t>
            </w:r>
          </w:p>
        </w:tc>
        <w:tc>
          <w:tcPr>
            <w:tcW w:w="2769"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机构健全、分工明确</w:t>
            </w:r>
          </w:p>
        </w:tc>
        <w:tc>
          <w:tcPr>
            <w:tcW w:w="2928" w:type="dxa"/>
            <w:noWrap w:val="0"/>
            <w:vAlign w:val="center"/>
          </w:tcPr>
          <w:p>
            <w:pPr>
              <w:keepNext w:val="0"/>
              <w:keepLines w:val="0"/>
              <w:widowControl/>
              <w:suppressLineNumbers w:val="0"/>
              <w:spacing w:before="0" w:beforeAutospacing="0" w:after="0" w:afterAutospacing="0" w:line="260" w:lineRule="exact"/>
              <w:ind w:left="196" w:right="0" w:hanging="200" w:hangingChars="100"/>
              <w:jc w:val="left"/>
              <w:rPr>
                <w:rFonts w:hint="default" w:ascii="仿宋_GB2312" w:hAnsi="宋体" w:cs="宋体"/>
                <w:kern w:val="0"/>
                <w:sz w:val="20"/>
              </w:rPr>
            </w:pPr>
            <w:r>
              <w:rPr>
                <w:rFonts w:hint="eastAsia" w:ascii="仿宋_GB2312" w:hAnsi="宋体" w:cs="宋体"/>
                <w:kern w:val="0"/>
                <w:sz w:val="20"/>
              </w:rPr>
              <w:t>机构健全、分工明确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726" w:type="dxa"/>
            <w:vMerge w:val="continue"/>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p>
        </w:tc>
        <w:tc>
          <w:tcPr>
            <w:tcW w:w="811" w:type="dxa"/>
            <w:vMerge w:val="continue"/>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p>
        </w:tc>
        <w:tc>
          <w:tcPr>
            <w:tcW w:w="1065"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项目</w:t>
            </w:r>
          </w:p>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实施（3分）</w:t>
            </w:r>
          </w:p>
        </w:tc>
        <w:tc>
          <w:tcPr>
            <w:tcW w:w="639" w:type="dxa"/>
            <w:noWrap w:val="0"/>
            <w:vAlign w:val="center"/>
          </w:tcPr>
          <w:p>
            <w:pPr>
              <w:keepNext w:val="0"/>
              <w:keepLines w:val="0"/>
              <w:widowControl/>
              <w:suppressLineNumbers w:val="0"/>
              <w:spacing w:before="0" w:beforeAutospacing="0" w:after="0" w:afterAutospacing="0" w:line="260" w:lineRule="exact"/>
              <w:ind w:left="0" w:right="0"/>
              <w:jc w:val="center"/>
              <w:rPr>
                <w:rFonts w:hint="eastAsia" w:ascii="仿宋_GB2312" w:hAnsi="宋体" w:eastAsia="仿宋_GB2312" w:cs="宋体"/>
                <w:kern w:val="0"/>
                <w:sz w:val="20"/>
                <w:lang w:val="en-US" w:eastAsia="zh-CN"/>
              </w:rPr>
            </w:pPr>
            <w:r>
              <w:rPr>
                <w:rFonts w:hint="eastAsia" w:ascii="仿宋_GB2312" w:hAnsi="宋体" w:cs="宋体"/>
                <w:kern w:val="0"/>
                <w:sz w:val="20"/>
                <w:lang w:val="en-US" w:eastAsia="zh-CN"/>
              </w:rPr>
              <w:t>2</w:t>
            </w:r>
          </w:p>
        </w:tc>
        <w:tc>
          <w:tcPr>
            <w:tcW w:w="2769"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项目按计划开工；按计划进度开展；按计划完工</w:t>
            </w:r>
          </w:p>
        </w:tc>
        <w:tc>
          <w:tcPr>
            <w:tcW w:w="2928"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按计划开工（1分）   按计划开展（1分）   按计划完工（1分）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726" w:type="dxa"/>
            <w:vMerge w:val="continue"/>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p>
        </w:tc>
        <w:tc>
          <w:tcPr>
            <w:tcW w:w="811" w:type="dxa"/>
            <w:vMerge w:val="continue"/>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p>
        </w:tc>
        <w:tc>
          <w:tcPr>
            <w:tcW w:w="1065"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管理</w:t>
            </w:r>
          </w:p>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制度（6分）</w:t>
            </w:r>
          </w:p>
        </w:tc>
        <w:tc>
          <w:tcPr>
            <w:tcW w:w="639"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eastAsia="仿宋_GB2312" w:cs="宋体"/>
                <w:kern w:val="0"/>
                <w:sz w:val="20"/>
                <w:lang w:val="en-US" w:eastAsia="zh-CN"/>
              </w:rPr>
            </w:pPr>
            <w:r>
              <w:rPr>
                <w:rFonts w:hint="eastAsia" w:ascii="仿宋_GB2312" w:hAnsi="宋体" w:cs="宋体"/>
                <w:kern w:val="0"/>
                <w:sz w:val="20"/>
                <w:lang w:val="en-US" w:eastAsia="zh-CN"/>
              </w:rPr>
              <w:t>6</w:t>
            </w:r>
          </w:p>
        </w:tc>
        <w:tc>
          <w:tcPr>
            <w:tcW w:w="2769"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项目管理制度健全；严格执行相关管理制度</w:t>
            </w:r>
          </w:p>
        </w:tc>
        <w:tc>
          <w:tcPr>
            <w:tcW w:w="2928"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管理制度健全（2分）</w:t>
            </w:r>
          </w:p>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制度执行严格（4分）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726" w:type="dxa"/>
            <w:vMerge w:val="restart"/>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p>
          <w:p>
            <w:pPr>
              <w:keepNext w:val="0"/>
              <w:keepLines w:val="0"/>
              <w:widowControl/>
              <w:suppressLineNumbers w:val="0"/>
              <w:spacing w:before="0" w:beforeAutospacing="0" w:after="0" w:afterAutospacing="0" w:line="260" w:lineRule="exact"/>
              <w:ind w:left="0" w:right="0"/>
              <w:jc w:val="center"/>
              <w:rPr>
                <w:rFonts w:hint="eastAsia" w:ascii="仿宋_GB2312" w:hAnsi="宋体" w:cs="宋体"/>
                <w:kern w:val="0"/>
                <w:sz w:val="20"/>
              </w:rPr>
            </w:pPr>
          </w:p>
          <w:p>
            <w:pPr>
              <w:keepNext w:val="0"/>
              <w:keepLines w:val="0"/>
              <w:widowControl/>
              <w:suppressLineNumbers w:val="0"/>
              <w:spacing w:before="0" w:beforeAutospacing="0" w:after="0" w:afterAutospacing="0" w:line="260" w:lineRule="exact"/>
              <w:ind w:left="0" w:right="0"/>
              <w:jc w:val="center"/>
              <w:rPr>
                <w:rFonts w:hint="eastAsia" w:ascii="仿宋_GB2312" w:hAnsi="宋体" w:cs="宋体"/>
                <w:kern w:val="0"/>
                <w:sz w:val="20"/>
              </w:rPr>
            </w:pPr>
          </w:p>
          <w:p>
            <w:pPr>
              <w:keepNext w:val="0"/>
              <w:keepLines w:val="0"/>
              <w:widowControl/>
              <w:suppressLineNumbers w:val="0"/>
              <w:spacing w:before="0" w:beforeAutospacing="0" w:after="0" w:afterAutospacing="0" w:line="260" w:lineRule="exact"/>
              <w:ind w:left="0" w:right="0"/>
              <w:jc w:val="center"/>
              <w:rPr>
                <w:rFonts w:hint="eastAsia" w:ascii="仿宋_GB2312" w:hAnsi="宋体" w:cs="宋体"/>
                <w:kern w:val="0"/>
                <w:sz w:val="20"/>
              </w:rPr>
            </w:pPr>
            <w:r>
              <w:rPr>
                <w:rFonts w:hint="eastAsia" w:ascii="仿宋_GB2312" w:hAnsi="宋体" w:cs="宋体"/>
                <w:kern w:val="0"/>
                <w:sz w:val="20"/>
              </w:rPr>
              <w:t>项目</w:t>
            </w:r>
          </w:p>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绩效（55分）</w:t>
            </w:r>
          </w:p>
        </w:tc>
        <w:tc>
          <w:tcPr>
            <w:tcW w:w="811" w:type="dxa"/>
            <w:vMerge w:val="restart"/>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p>
          <w:p>
            <w:pPr>
              <w:keepNext w:val="0"/>
              <w:keepLines w:val="0"/>
              <w:widowControl/>
              <w:suppressLineNumbers w:val="0"/>
              <w:spacing w:before="0" w:beforeAutospacing="0" w:after="0" w:afterAutospacing="0" w:line="260" w:lineRule="exact"/>
              <w:ind w:left="0" w:right="0"/>
              <w:jc w:val="center"/>
              <w:rPr>
                <w:rFonts w:hint="eastAsia" w:ascii="仿宋_GB2312" w:hAnsi="宋体" w:cs="宋体"/>
                <w:kern w:val="0"/>
                <w:sz w:val="20"/>
              </w:rPr>
            </w:pPr>
          </w:p>
          <w:p>
            <w:pPr>
              <w:keepNext w:val="0"/>
              <w:keepLines w:val="0"/>
              <w:widowControl/>
              <w:suppressLineNumbers w:val="0"/>
              <w:spacing w:before="0" w:beforeAutospacing="0" w:after="0" w:afterAutospacing="0" w:line="260" w:lineRule="exact"/>
              <w:ind w:left="0" w:right="0"/>
              <w:jc w:val="center"/>
              <w:rPr>
                <w:rFonts w:hint="eastAsia" w:ascii="仿宋_GB2312" w:hAnsi="宋体" w:cs="宋体"/>
                <w:kern w:val="0"/>
                <w:sz w:val="20"/>
              </w:rPr>
            </w:pPr>
            <w:r>
              <w:rPr>
                <w:rFonts w:hint="eastAsia" w:ascii="仿宋_GB2312" w:hAnsi="宋体" w:cs="宋体"/>
                <w:kern w:val="0"/>
                <w:sz w:val="20"/>
              </w:rPr>
              <w:t>项目</w:t>
            </w:r>
          </w:p>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产出（15分）</w:t>
            </w:r>
          </w:p>
        </w:tc>
        <w:tc>
          <w:tcPr>
            <w:tcW w:w="1065"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产出</w:t>
            </w:r>
          </w:p>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数量（5分）</w:t>
            </w:r>
          </w:p>
        </w:tc>
        <w:tc>
          <w:tcPr>
            <w:tcW w:w="639" w:type="dxa"/>
            <w:noWrap w:val="0"/>
            <w:vAlign w:val="center"/>
          </w:tcPr>
          <w:p>
            <w:pPr>
              <w:keepNext w:val="0"/>
              <w:keepLines w:val="0"/>
              <w:widowControl/>
              <w:suppressLineNumbers w:val="0"/>
              <w:spacing w:before="0" w:beforeAutospacing="0" w:after="0" w:afterAutospacing="0" w:line="260" w:lineRule="exact"/>
              <w:ind w:left="0" w:right="0"/>
              <w:jc w:val="center"/>
              <w:rPr>
                <w:rFonts w:hint="eastAsia" w:ascii="仿宋_GB2312" w:hAnsi="宋体" w:eastAsia="仿宋_GB2312" w:cs="宋体"/>
                <w:kern w:val="0"/>
                <w:sz w:val="20"/>
                <w:lang w:val="en-US" w:eastAsia="zh-CN"/>
              </w:rPr>
            </w:pPr>
            <w:r>
              <w:rPr>
                <w:rFonts w:hint="eastAsia" w:ascii="仿宋_GB2312" w:hAnsi="宋体" w:cs="宋体"/>
                <w:kern w:val="0"/>
                <w:sz w:val="20"/>
                <w:lang w:val="en-US" w:eastAsia="zh-CN"/>
              </w:rPr>
              <w:t>5</w:t>
            </w:r>
          </w:p>
        </w:tc>
        <w:tc>
          <w:tcPr>
            <w:tcW w:w="2769"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根据该项目实际，标识具体明确的产出数量</w:t>
            </w:r>
          </w:p>
        </w:tc>
        <w:tc>
          <w:tcPr>
            <w:tcW w:w="2928"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对照绩效目标，按实际产出数量率计算得分（5分）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726" w:type="dxa"/>
            <w:vMerge w:val="continue"/>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p>
        </w:tc>
        <w:tc>
          <w:tcPr>
            <w:tcW w:w="811" w:type="dxa"/>
            <w:vMerge w:val="continue"/>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p>
        </w:tc>
        <w:tc>
          <w:tcPr>
            <w:tcW w:w="1065"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产出</w:t>
            </w:r>
          </w:p>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质量（4分）</w:t>
            </w:r>
          </w:p>
        </w:tc>
        <w:tc>
          <w:tcPr>
            <w:tcW w:w="639" w:type="dxa"/>
            <w:noWrap w:val="0"/>
            <w:vAlign w:val="center"/>
          </w:tcPr>
          <w:p>
            <w:pPr>
              <w:keepNext w:val="0"/>
              <w:keepLines w:val="0"/>
              <w:widowControl/>
              <w:suppressLineNumbers w:val="0"/>
              <w:spacing w:before="0" w:beforeAutospacing="0" w:after="0" w:afterAutospacing="0" w:line="260" w:lineRule="exact"/>
              <w:ind w:left="0" w:right="0"/>
              <w:jc w:val="center"/>
              <w:rPr>
                <w:rFonts w:hint="eastAsia" w:ascii="仿宋_GB2312" w:hAnsi="宋体" w:eastAsia="仿宋_GB2312" w:cs="宋体"/>
                <w:kern w:val="0"/>
                <w:sz w:val="20"/>
                <w:lang w:val="en-US" w:eastAsia="zh-CN"/>
              </w:rPr>
            </w:pPr>
            <w:r>
              <w:rPr>
                <w:rFonts w:hint="eastAsia" w:ascii="仿宋_GB2312" w:hAnsi="宋体" w:cs="宋体"/>
                <w:kern w:val="0"/>
                <w:sz w:val="20"/>
                <w:lang w:val="en-US" w:eastAsia="zh-CN"/>
              </w:rPr>
              <w:t>3</w:t>
            </w:r>
          </w:p>
        </w:tc>
        <w:tc>
          <w:tcPr>
            <w:tcW w:w="2769"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根据该项目实际，标识具体明确的产出质量</w:t>
            </w:r>
          </w:p>
        </w:tc>
        <w:tc>
          <w:tcPr>
            <w:tcW w:w="2928"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对照绩效目标，按实际产出质量率计算得分（4分）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726" w:type="dxa"/>
            <w:vMerge w:val="continue"/>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p>
        </w:tc>
        <w:tc>
          <w:tcPr>
            <w:tcW w:w="811" w:type="dxa"/>
            <w:vMerge w:val="continue"/>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p>
        </w:tc>
        <w:tc>
          <w:tcPr>
            <w:tcW w:w="1065"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产出</w:t>
            </w:r>
          </w:p>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时效（3分）</w:t>
            </w:r>
          </w:p>
        </w:tc>
        <w:tc>
          <w:tcPr>
            <w:tcW w:w="639" w:type="dxa"/>
            <w:noWrap w:val="0"/>
            <w:vAlign w:val="center"/>
          </w:tcPr>
          <w:p>
            <w:pPr>
              <w:keepNext w:val="0"/>
              <w:keepLines w:val="0"/>
              <w:widowControl/>
              <w:suppressLineNumbers w:val="0"/>
              <w:spacing w:before="0" w:beforeAutospacing="0" w:after="0" w:afterAutospacing="0" w:line="260" w:lineRule="exact"/>
              <w:ind w:left="0" w:right="0"/>
              <w:jc w:val="center"/>
              <w:rPr>
                <w:rFonts w:hint="eastAsia" w:ascii="仿宋_GB2312" w:hAnsi="宋体" w:eastAsia="仿宋_GB2312" w:cs="宋体"/>
                <w:kern w:val="0"/>
                <w:sz w:val="20"/>
                <w:lang w:val="en-US" w:eastAsia="zh-CN"/>
              </w:rPr>
            </w:pPr>
            <w:r>
              <w:rPr>
                <w:rFonts w:hint="eastAsia" w:ascii="仿宋_GB2312" w:hAnsi="宋体" w:cs="宋体"/>
                <w:kern w:val="0"/>
                <w:sz w:val="20"/>
                <w:lang w:val="en-US" w:eastAsia="zh-CN"/>
              </w:rPr>
              <w:t>2</w:t>
            </w:r>
          </w:p>
        </w:tc>
        <w:tc>
          <w:tcPr>
            <w:tcW w:w="2769"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根据该项目实际，标识具体明确的产出时效</w:t>
            </w:r>
          </w:p>
        </w:tc>
        <w:tc>
          <w:tcPr>
            <w:tcW w:w="2928"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对照绩效目标，按实际产出时效率计算得分（3分）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726" w:type="dxa"/>
            <w:vMerge w:val="continue"/>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p>
        </w:tc>
        <w:tc>
          <w:tcPr>
            <w:tcW w:w="811" w:type="dxa"/>
            <w:vMerge w:val="continue"/>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p>
        </w:tc>
        <w:tc>
          <w:tcPr>
            <w:tcW w:w="1065"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产出</w:t>
            </w:r>
          </w:p>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成本（3分）</w:t>
            </w:r>
          </w:p>
        </w:tc>
        <w:tc>
          <w:tcPr>
            <w:tcW w:w="639" w:type="dxa"/>
            <w:noWrap w:val="0"/>
            <w:vAlign w:val="center"/>
          </w:tcPr>
          <w:p>
            <w:pPr>
              <w:keepNext w:val="0"/>
              <w:keepLines w:val="0"/>
              <w:widowControl/>
              <w:suppressLineNumbers w:val="0"/>
              <w:spacing w:before="0" w:beforeAutospacing="0" w:after="0" w:afterAutospacing="0" w:line="260" w:lineRule="exact"/>
              <w:ind w:left="0" w:right="0"/>
              <w:jc w:val="center"/>
              <w:rPr>
                <w:rFonts w:hint="eastAsia" w:ascii="仿宋_GB2312" w:hAnsi="宋体" w:eastAsia="仿宋_GB2312" w:cs="宋体"/>
                <w:kern w:val="0"/>
                <w:sz w:val="20"/>
                <w:lang w:val="en-US" w:eastAsia="zh-CN"/>
              </w:rPr>
            </w:pPr>
            <w:r>
              <w:rPr>
                <w:rFonts w:hint="eastAsia" w:ascii="仿宋_GB2312" w:hAnsi="宋体" w:cs="宋体"/>
                <w:kern w:val="0"/>
                <w:sz w:val="20"/>
                <w:lang w:val="en-US" w:eastAsia="zh-CN"/>
              </w:rPr>
              <w:t>3</w:t>
            </w:r>
          </w:p>
        </w:tc>
        <w:tc>
          <w:tcPr>
            <w:tcW w:w="2769"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根据该项目实际，标识具体明确的产出成本</w:t>
            </w:r>
          </w:p>
        </w:tc>
        <w:tc>
          <w:tcPr>
            <w:tcW w:w="2928"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对照绩效目标，按实际产出成本率计算得分（3分）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726" w:type="dxa"/>
            <w:vMerge w:val="continue"/>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p>
        </w:tc>
        <w:tc>
          <w:tcPr>
            <w:tcW w:w="811" w:type="dxa"/>
            <w:vMerge w:val="restart"/>
            <w:noWrap w:val="0"/>
            <w:vAlign w:val="center"/>
          </w:tcPr>
          <w:p>
            <w:pPr>
              <w:keepNext w:val="0"/>
              <w:keepLines w:val="0"/>
              <w:widowControl/>
              <w:suppressLineNumbers w:val="0"/>
              <w:spacing w:before="0" w:beforeAutospacing="0" w:after="0" w:afterAutospacing="0" w:line="260" w:lineRule="exact"/>
              <w:ind w:left="0" w:right="0"/>
              <w:rPr>
                <w:rFonts w:hint="default" w:ascii="仿宋_GB2312" w:hAnsi="宋体" w:cs="宋体"/>
                <w:kern w:val="0"/>
                <w:sz w:val="20"/>
              </w:rPr>
            </w:pPr>
          </w:p>
          <w:p>
            <w:pPr>
              <w:keepNext w:val="0"/>
              <w:keepLines w:val="0"/>
              <w:widowControl/>
              <w:suppressLineNumbers w:val="0"/>
              <w:spacing w:before="0" w:beforeAutospacing="0" w:after="0" w:afterAutospacing="0" w:line="260" w:lineRule="exact"/>
              <w:ind w:left="0" w:right="0"/>
              <w:jc w:val="center"/>
              <w:rPr>
                <w:rFonts w:hint="eastAsia" w:ascii="仿宋_GB2312" w:hAnsi="宋体" w:cs="宋体"/>
                <w:kern w:val="0"/>
                <w:sz w:val="20"/>
              </w:rPr>
            </w:pPr>
            <w:r>
              <w:rPr>
                <w:rFonts w:hint="eastAsia" w:ascii="仿宋_GB2312" w:hAnsi="宋体" w:cs="宋体"/>
                <w:kern w:val="0"/>
                <w:sz w:val="20"/>
              </w:rPr>
              <w:t>项目</w:t>
            </w:r>
          </w:p>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效果（40分）</w:t>
            </w:r>
          </w:p>
        </w:tc>
        <w:tc>
          <w:tcPr>
            <w:tcW w:w="1065"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经济</w:t>
            </w:r>
          </w:p>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效益（8分）</w:t>
            </w:r>
          </w:p>
        </w:tc>
        <w:tc>
          <w:tcPr>
            <w:tcW w:w="639" w:type="dxa"/>
            <w:noWrap w:val="0"/>
            <w:vAlign w:val="center"/>
          </w:tcPr>
          <w:p>
            <w:pPr>
              <w:keepNext w:val="0"/>
              <w:keepLines w:val="0"/>
              <w:widowControl/>
              <w:suppressLineNumbers w:val="0"/>
              <w:spacing w:before="0" w:beforeAutospacing="0" w:after="0" w:afterAutospacing="0" w:line="260" w:lineRule="exact"/>
              <w:ind w:left="0" w:right="0"/>
              <w:jc w:val="center"/>
              <w:rPr>
                <w:rFonts w:hint="eastAsia" w:ascii="仿宋_GB2312" w:hAnsi="宋体" w:eastAsia="仿宋_GB2312" w:cs="宋体"/>
                <w:kern w:val="0"/>
                <w:sz w:val="20"/>
                <w:lang w:val="en-US" w:eastAsia="zh-CN"/>
              </w:rPr>
            </w:pPr>
            <w:r>
              <w:rPr>
                <w:rFonts w:hint="eastAsia" w:ascii="仿宋_GB2312" w:hAnsi="宋体" w:cs="宋体"/>
                <w:kern w:val="0"/>
                <w:sz w:val="20"/>
                <w:lang w:val="en-US" w:eastAsia="zh-CN"/>
              </w:rPr>
              <w:t>8</w:t>
            </w:r>
          </w:p>
        </w:tc>
        <w:tc>
          <w:tcPr>
            <w:tcW w:w="2769"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根据项目实际，标识所产生的直接或间接的经济效益</w:t>
            </w:r>
          </w:p>
        </w:tc>
        <w:tc>
          <w:tcPr>
            <w:tcW w:w="2928"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对照绩效目标，按经济效益实现程度计算得分（8分）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726" w:type="dxa"/>
            <w:vMerge w:val="continue"/>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p>
        </w:tc>
        <w:tc>
          <w:tcPr>
            <w:tcW w:w="811" w:type="dxa"/>
            <w:vMerge w:val="continue"/>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p>
        </w:tc>
        <w:tc>
          <w:tcPr>
            <w:tcW w:w="1065"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社会</w:t>
            </w:r>
          </w:p>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效益（8分）</w:t>
            </w:r>
          </w:p>
        </w:tc>
        <w:tc>
          <w:tcPr>
            <w:tcW w:w="639" w:type="dxa"/>
            <w:noWrap w:val="0"/>
            <w:vAlign w:val="center"/>
          </w:tcPr>
          <w:p>
            <w:pPr>
              <w:keepNext w:val="0"/>
              <w:keepLines w:val="0"/>
              <w:widowControl/>
              <w:suppressLineNumbers w:val="0"/>
              <w:spacing w:before="0" w:beforeAutospacing="0" w:after="0" w:afterAutospacing="0" w:line="260" w:lineRule="exact"/>
              <w:ind w:left="0" w:right="0"/>
              <w:jc w:val="center"/>
              <w:rPr>
                <w:rFonts w:hint="eastAsia" w:ascii="仿宋_GB2312" w:hAnsi="宋体" w:eastAsia="仿宋_GB2312" w:cs="宋体"/>
                <w:kern w:val="0"/>
                <w:sz w:val="20"/>
                <w:lang w:val="en-US" w:eastAsia="zh-CN"/>
              </w:rPr>
            </w:pPr>
            <w:r>
              <w:rPr>
                <w:rFonts w:hint="eastAsia" w:ascii="仿宋_GB2312" w:hAnsi="宋体" w:cs="宋体"/>
                <w:kern w:val="0"/>
                <w:sz w:val="20"/>
                <w:lang w:val="en-US" w:eastAsia="zh-CN"/>
              </w:rPr>
              <w:t>8</w:t>
            </w:r>
          </w:p>
        </w:tc>
        <w:tc>
          <w:tcPr>
            <w:tcW w:w="2769"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根据项目实际，标识所产生的社会效益</w:t>
            </w:r>
          </w:p>
        </w:tc>
        <w:tc>
          <w:tcPr>
            <w:tcW w:w="2928"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对照绩效目标，按社会效益实现程度计算得分（8分）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726" w:type="dxa"/>
            <w:vMerge w:val="continue"/>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p>
        </w:tc>
        <w:tc>
          <w:tcPr>
            <w:tcW w:w="811" w:type="dxa"/>
            <w:vMerge w:val="continue"/>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p>
        </w:tc>
        <w:tc>
          <w:tcPr>
            <w:tcW w:w="1065"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环境</w:t>
            </w:r>
          </w:p>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效益（8分）</w:t>
            </w:r>
          </w:p>
        </w:tc>
        <w:tc>
          <w:tcPr>
            <w:tcW w:w="639" w:type="dxa"/>
            <w:noWrap w:val="0"/>
            <w:vAlign w:val="center"/>
          </w:tcPr>
          <w:p>
            <w:pPr>
              <w:keepNext w:val="0"/>
              <w:keepLines w:val="0"/>
              <w:widowControl/>
              <w:suppressLineNumbers w:val="0"/>
              <w:spacing w:before="0" w:beforeAutospacing="0" w:after="0" w:afterAutospacing="0" w:line="260" w:lineRule="exact"/>
              <w:ind w:left="0" w:right="0"/>
              <w:jc w:val="center"/>
              <w:rPr>
                <w:rFonts w:hint="eastAsia" w:ascii="仿宋_GB2312" w:hAnsi="宋体" w:eastAsia="仿宋_GB2312" w:cs="宋体"/>
                <w:kern w:val="0"/>
                <w:sz w:val="20"/>
                <w:lang w:val="en-US" w:eastAsia="zh-CN"/>
              </w:rPr>
            </w:pPr>
            <w:r>
              <w:rPr>
                <w:rFonts w:hint="eastAsia" w:ascii="仿宋_GB2312" w:hAnsi="宋体" w:cs="宋体"/>
                <w:kern w:val="0"/>
                <w:sz w:val="20"/>
                <w:lang w:val="en-US" w:eastAsia="zh-CN"/>
              </w:rPr>
              <w:t>8</w:t>
            </w:r>
          </w:p>
        </w:tc>
        <w:tc>
          <w:tcPr>
            <w:tcW w:w="2769"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根据项目实际，标识对环境所产生的积极或消极影响</w:t>
            </w:r>
          </w:p>
        </w:tc>
        <w:tc>
          <w:tcPr>
            <w:tcW w:w="2928"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对照绩效目标，按对环境所产生的实际影响程度计算得分（8分）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726" w:type="dxa"/>
            <w:vMerge w:val="continue"/>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p>
        </w:tc>
        <w:tc>
          <w:tcPr>
            <w:tcW w:w="811" w:type="dxa"/>
            <w:vMerge w:val="continue"/>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p>
        </w:tc>
        <w:tc>
          <w:tcPr>
            <w:tcW w:w="1065"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可持续影响（8分）</w:t>
            </w:r>
          </w:p>
        </w:tc>
        <w:tc>
          <w:tcPr>
            <w:tcW w:w="639" w:type="dxa"/>
            <w:noWrap w:val="0"/>
            <w:vAlign w:val="center"/>
          </w:tcPr>
          <w:p>
            <w:pPr>
              <w:keepNext w:val="0"/>
              <w:keepLines w:val="0"/>
              <w:widowControl/>
              <w:suppressLineNumbers w:val="0"/>
              <w:spacing w:before="0" w:beforeAutospacing="0" w:after="0" w:afterAutospacing="0" w:line="260" w:lineRule="exact"/>
              <w:ind w:left="0" w:right="0"/>
              <w:jc w:val="center"/>
              <w:rPr>
                <w:rFonts w:hint="eastAsia" w:ascii="仿宋_GB2312" w:hAnsi="宋体" w:eastAsia="仿宋_GB2312" w:cs="宋体"/>
                <w:kern w:val="0"/>
                <w:sz w:val="20"/>
                <w:lang w:val="en-US" w:eastAsia="zh-CN"/>
              </w:rPr>
            </w:pPr>
            <w:r>
              <w:rPr>
                <w:rFonts w:hint="eastAsia" w:ascii="仿宋_GB2312" w:hAnsi="宋体" w:cs="宋体"/>
                <w:kern w:val="0"/>
                <w:sz w:val="20"/>
                <w:lang w:val="en-US" w:eastAsia="zh-CN"/>
              </w:rPr>
              <w:t>8</w:t>
            </w:r>
          </w:p>
        </w:tc>
        <w:tc>
          <w:tcPr>
            <w:tcW w:w="2769"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项目产出能持续运用；项目运行所依赖的政策制度能持续执行</w:t>
            </w:r>
          </w:p>
        </w:tc>
        <w:tc>
          <w:tcPr>
            <w:tcW w:w="2928"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项目产出能持续运用（4分）</w:t>
            </w:r>
          </w:p>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所依赖的政策制度能持续执行（4分）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trPr>
        <w:tc>
          <w:tcPr>
            <w:tcW w:w="726" w:type="dxa"/>
            <w:vMerge w:val="continue"/>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p>
        </w:tc>
        <w:tc>
          <w:tcPr>
            <w:tcW w:w="811" w:type="dxa"/>
            <w:vMerge w:val="continue"/>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p>
        </w:tc>
        <w:tc>
          <w:tcPr>
            <w:tcW w:w="1065"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服务</w:t>
            </w:r>
          </w:p>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对象满意度（8分）</w:t>
            </w:r>
          </w:p>
        </w:tc>
        <w:tc>
          <w:tcPr>
            <w:tcW w:w="639" w:type="dxa"/>
            <w:noWrap w:val="0"/>
            <w:vAlign w:val="center"/>
          </w:tcPr>
          <w:p>
            <w:pPr>
              <w:keepNext w:val="0"/>
              <w:keepLines w:val="0"/>
              <w:widowControl/>
              <w:suppressLineNumbers w:val="0"/>
              <w:spacing w:before="0" w:beforeAutospacing="0" w:after="0" w:afterAutospacing="0" w:line="260" w:lineRule="exact"/>
              <w:ind w:left="0" w:right="0"/>
              <w:jc w:val="center"/>
              <w:rPr>
                <w:rFonts w:hint="eastAsia" w:ascii="仿宋_GB2312" w:hAnsi="宋体" w:eastAsia="仿宋_GB2312" w:cs="宋体"/>
                <w:kern w:val="0"/>
                <w:sz w:val="20"/>
                <w:lang w:val="en-US" w:eastAsia="zh-CN"/>
              </w:rPr>
            </w:pPr>
            <w:r>
              <w:rPr>
                <w:rFonts w:hint="eastAsia" w:ascii="仿宋_GB2312" w:hAnsi="宋体" w:cs="宋体"/>
                <w:kern w:val="0"/>
                <w:sz w:val="20"/>
                <w:lang w:val="en-US" w:eastAsia="zh-CN"/>
              </w:rPr>
              <w:t>8</w:t>
            </w:r>
          </w:p>
        </w:tc>
        <w:tc>
          <w:tcPr>
            <w:tcW w:w="2769"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项目预期服务对象对项目实施的满意程度</w:t>
            </w:r>
          </w:p>
        </w:tc>
        <w:tc>
          <w:tcPr>
            <w:tcW w:w="2928" w:type="dxa"/>
            <w:noWrap w:val="0"/>
            <w:vAlign w:val="center"/>
          </w:tcPr>
          <w:p>
            <w:pPr>
              <w:keepNext w:val="0"/>
              <w:keepLines w:val="0"/>
              <w:widowControl/>
              <w:suppressLineNumbers w:val="0"/>
              <w:spacing w:before="0" w:beforeAutospacing="0" w:after="0" w:afterAutospacing="0" w:line="260" w:lineRule="exact"/>
              <w:ind w:left="0" w:right="0"/>
              <w:jc w:val="left"/>
              <w:rPr>
                <w:rFonts w:hint="default" w:ascii="仿宋_GB2312" w:hAnsi="宋体" w:cs="宋体"/>
                <w:kern w:val="0"/>
                <w:sz w:val="20"/>
              </w:rPr>
            </w:pPr>
            <w:r>
              <w:rPr>
                <w:rFonts w:hint="eastAsia" w:ascii="仿宋_GB2312" w:hAnsi="宋体" w:cs="宋体"/>
                <w:kern w:val="0"/>
                <w:sz w:val="20"/>
              </w:rPr>
              <w:t>按收集到的项目服务对象的满意率计算得分（8分）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trPr>
        <w:tc>
          <w:tcPr>
            <w:tcW w:w="726"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总分</w:t>
            </w:r>
          </w:p>
        </w:tc>
        <w:tc>
          <w:tcPr>
            <w:tcW w:w="811"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　100</w:t>
            </w:r>
          </w:p>
        </w:tc>
        <w:tc>
          <w:tcPr>
            <w:tcW w:w="1065"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100　</w:t>
            </w:r>
          </w:p>
        </w:tc>
        <w:tc>
          <w:tcPr>
            <w:tcW w:w="639"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eastAsia="仿宋_GB2312" w:cs="宋体"/>
                <w:kern w:val="0"/>
                <w:sz w:val="20"/>
                <w:lang w:val="en-US" w:eastAsia="zh-CN"/>
              </w:rPr>
            </w:pPr>
            <w:r>
              <w:rPr>
                <w:rFonts w:hint="eastAsia" w:ascii="仿宋_GB2312" w:hAnsi="宋体" w:cs="宋体"/>
                <w:kern w:val="0"/>
                <w:sz w:val="20"/>
                <w:lang w:val="en-US" w:eastAsia="zh-CN"/>
              </w:rPr>
              <w:t>95.5</w:t>
            </w:r>
          </w:p>
        </w:tc>
        <w:tc>
          <w:tcPr>
            <w:tcW w:w="2769"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　</w:t>
            </w:r>
          </w:p>
        </w:tc>
        <w:tc>
          <w:tcPr>
            <w:tcW w:w="2928" w:type="dxa"/>
            <w:noWrap w:val="0"/>
            <w:vAlign w:val="center"/>
          </w:tcPr>
          <w:p>
            <w:pPr>
              <w:keepNext w:val="0"/>
              <w:keepLines w:val="0"/>
              <w:widowControl/>
              <w:suppressLineNumbers w:val="0"/>
              <w:spacing w:before="0" w:beforeAutospacing="0" w:after="0" w:afterAutospacing="0" w:line="260" w:lineRule="exact"/>
              <w:ind w:left="0" w:right="0"/>
              <w:jc w:val="center"/>
              <w:rPr>
                <w:rFonts w:hint="default" w:ascii="仿宋_GB2312" w:hAnsi="宋体" w:cs="宋体"/>
                <w:kern w:val="0"/>
                <w:sz w:val="20"/>
              </w:rPr>
            </w:pPr>
            <w:r>
              <w:rPr>
                <w:rFonts w:hint="eastAsia" w:ascii="仿宋_GB2312" w:hAnsi="宋体" w:cs="宋体"/>
                <w:kern w:val="0"/>
                <w:sz w:val="20"/>
              </w:rPr>
              <w:t>　</w:t>
            </w:r>
          </w:p>
        </w:tc>
      </w:tr>
    </w:tbl>
    <w:p>
      <w:pPr>
        <w:jc w:val="left"/>
        <w:rPr>
          <w:rFonts w:hint="eastAsia" w:ascii="仿宋_GB2312" w:hAnsi="仿宋_GB2312" w:eastAsia="仿宋_GB2312" w:cs="仿宋_GB2312"/>
          <w:sz w:val="32"/>
        </w:rPr>
      </w:pPr>
    </w:p>
    <w:p>
      <w:pPr>
        <w:ind w:left="640"/>
        <w:jc w:val="left"/>
        <w:rPr>
          <w:rFonts w:hint="eastAsia" w:ascii="仿宋_GB2312" w:hAnsi="仿宋_GB2312" w:eastAsia="仿宋_GB2312" w:cs="仿宋_GB2312"/>
          <w:sz w:val="32"/>
        </w:rPr>
      </w:pPr>
    </w:p>
    <w:p>
      <w:pPr>
        <w:ind w:left="640"/>
        <w:jc w:val="left"/>
        <w:rPr>
          <w:rFonts w:hint="eastAsia" w:ascii="仿宋_GB2312" w:hAnsi="仿宋_GB2312" w:eastAsia="仿宋_GB2312" w:cs="仿宋_GB2312"/>
          <w:sz w:val="32"/>
        </w:rPr>
      </w:pPr>
    </w:p>
    <w:p>
      <w:pPr>
        <w:ind w:left="640"/>
        <w:jc w:val="left"/>
        <w:rPr>
          <w:rFonts w:hint="eastAsia" w:ascii="仿宋_GB2312" w:hAnsi="仿宋_GB2312" w:eastAsia="仿宋_GB2312" w:cs="仿宋_GB2312"/>
          <w:sz w:val="32"/>
        </w:rPr>
      </w:pPr>
      <w:r>
        <w:rPr>
          <w:rFonts w:hint="eastAsia" w:ascii="仿宋_GB2312" w:hAnsi="仿宋_GB2312" w:eastAsia="仿宋_GB2312" w:cs="仿宋_GB2312"/>
          <w:sz w:val="32"/>
        </w:rPr>
        <w:t xml:space="preserve">                            </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63208B"/>
    <w:multiLevelType w:val="multilevel"/>
    <w:tmpl w:val="B763208B"/>
    <w:lvl w:ilvl="0" w:tentative="0">
      <w:start w:val="3"/>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285517C1"/>
    <w:multiLevelType w:val="singleLevel"/>
    <w:tmpl w:val="285517C1"/>
    <w:lvl w:ilvl="0" w:tentative="0">
      <w:start w:val="3"/>
      <w:numFmt w:val="chineseCounting"/>
      <w:suff w:val="nothing"/>
      <w:lvlText w:val="（%1）"/>
      <w:lvlJc w:val="left"/>
      <w:rPr>
        <w:rFonts w:hint="eastAsia"/>
      </w:rPr>
    </w:lvl>
  </w:abstractNum>
  <w:abstractNum w:abstractNumId="2">
    <w:nsid w:val="315C6552"/>
    <w:multiLevelType w:val="multilevel"/>
    <w:tmpl w:val="315C655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42EE95C9"/>
    <w:multiLevelType w:val="singleLevel"/>
    <w:tmpl w:val="42EE95C9"/>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nforcement="0"/>
  <w:defaultTabStop w:val="420"/>
  <w:displayHorizontalDrawingGridEvery w:val="0"/>
  <w:displayVerticalDrawingGridEvery w:val="2"/>
  <w:characterSpacingControl w:val="doNotCompress"/>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1443500"/>
    <w:rsid w:val="05BC2ABF"/>
    <w:rsid w:val="145267A8"/>
    <w:rsid w:val="18F45FFA"/>
    <w:rsid w:val="1C851E1F"/>
    <w:rsid w:val="1CFC316B"/>
    <w:rsid w:val="27F15221"/>
    <w:rsid w:val="2BEC286F"/>
    <w:rsid w:val="304B0557"/>
    <w:rsid w:val="36C65F8E"/>
    <w:rsid w:val="37531A87"/>
    <w:rsid w:val="39303509"/>
    <w:rsid w:val="46F13C59"/>
    <w:rsid w:val="51160F01"/>
    <w:rsid w:val="5B2B4BE2"/>
    <w:rsid w:val="666A2E7A"/>
    <w:rsid w:val="69B52FDE"/>
    <w:rsid w:val="75BF7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6">
    <w:name w:val="Table Grid"/>
    <w:basedOn w:val="5"/>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756</Words>
  <Characters>4313</Characters>
  <Lines>1</Lines>
  <Paragraphs>1</Paragraphs>
  <TotalTime>21</TotalTime>
  <ScaleCrop>false</ScaleCrop>
  <LinksUpToDate>false</LinksUpToDate>
  <CharactersWithSpaces>5059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攒刺</cp:lastModifiedBy>
  <cp:lastPrinted>2020-09-27T09:21:00Z</cp:lastPrinted>
  <dcterms:modified xsi:type="dcterms:W3CDTF">2021-06-10T01:50:20Z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B1A9793CA62447EE95186E9A4FB3EF5C</vt:lpwstr>
  </property>
</Properties>
</file>