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Times New Roman"/>
          <w:sz w:val="44"/>
          <w:szCs w:val="44"/>
        </w:rPr>
      </w:pPr>
      <w:r>
        <w:rPr>
          <w:rFonts w:hint="eastAsia" w:ascii="宋体" w:hAnsi="宋体" w:cs="宋体"/>
          <w:sz w:val="44"/>
          <w:szCs w:val="44"/>
        </w:rPr>
        <w:t>目</w:t>
      </w:r>
      <w:r>
        <w:rPr>
          <w:rFonts w:ascii="方正小标宋_GBK" w:hAnsi="方正小标宋_GBK" w:eastAsia="方正小标宋_GBK" w:cs="方正小标宋_GBK"/>
          <w:sz w:val="44"/>
          <w:szCs w:val="44"/>
        </w:rPr>
        <w:t xml:space="preserve"> </w:t>
      </w:r>
      <w:r>
        <w:rPr>
          <w:rFonts w:hint="eastAsia" w:ascii="宋体" w:hAnsi="宋体" w:cs="宋体"/>
          <w:sz w:val="44"/>
          <w:szCs w:val="44"/>
        </w:rPr>
        <w:t>录</w:t>
      </w:r>
    </w:p>
    <w:p>
      <w:pPr>
        <w:ind w:firstLine="3200"/>
        <w:rPr>
          <w:rFonts w:ascii="仿宋" w:hAnsi="仿宋" w:eastAsia="仿宋" w:cs="Times New Roman"/>
          <w:sz w:val="32"/>
          <w:szCs w:val="32"/>
        </w:rPr>
      </w:pPr>
    </w:p>
    <w:p>
      <w:pPr>
        <w:rPr>
          <w:rFonts w:ascii="黑体" w:hAnsi="黑体" w:eastAsia="黑体" w:cs="黑体"/>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益阳市生态环境局（本级）单位概况</w:t>
      </w:r>
      <w:r>
        <w:rPr>
          <w:rFonts w:ascii="黑体" w:hAnsi="黑体" w:eastAsia="黑体" w:cs="黑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一、部门职责</w:t>
      </w:r>
      <w:r>
        <w:rPr>
          <w:rFonts w:ascii="楷体" w:hAnsi="楷体" w:eastAsia="楷体" w:cs="楷体"/>
          <w:sz w:val="32"/>
          <w:szCs w:val="32"/>
        </w:rPr>
        <w:t xml:space="preserve"> </w:t>
      </w:r>
    </w:p>
    <w:p>
      <w:pPr>
        <w:rPr>
          <w:rFonts w:ascii="楷体" w:hAnsi="楷体" w:eastAsia="楷体" w:cs="Times New Roman"/>
          <w:sz w:val="32"/>
          <w:szCs w:val="32"/>
        </w:rPr>
      </w:pPr>
      <w:r>
        <w:rPr>
          <w:rFonts w:hint="eastAsia" w:ascii="楷体" w:hAnsi="楷体" w:eastAsia="楷体" w:cs="楷体"/>
          <w:sz w:val="32"/>
          <w:szCs w:val="32"/>
        </w:rPr>
        <w:t>二、机构设置</w:t>
      </w:r>
    </w:p>
    <w:p>
      <w:pPr>
        <w:rPr>
          <w:rFonts w:ascii="楷体" w:hAnsi="楷体" w:eastAsia="楷体" w:cs="楷体"/>
          <w:sz w:val="32"/>
          <w:szCs w:val="32"/>
        </w:rPr>
      </w:pPr>
      <w:r>
        <w:rPr>
          <w:rFonts w:hint="eastAsia" w:ascii="楷体" w:hAnsi="楷体" w:eastAsia="楷体" w:cs="楷体"/>
          <w:sz w:val="32"/>
          <w:szCs w:val="32"/>
        </w:rPr>
        <w:t>三、部门决算单位构成</w:t>
      </w:r>
      <w:r>
        <w:rPr>
          <w:rFonts w:ascii="楷体" w:hAnsi="楷体" w:eastAsia="楷体" w:cs="楷体"/>
          <w:sz w:val="32"/>
          <w:szCs w:val="32"/>
        </w:rPr>
        <w:t xml:space="preserve"> </w:t>
      </w:r>
    </w:p>
    <w:p>
      <w:pPr>
        <w:rPr>
          <w:rFonts w:ascii="楷体" w:hAnsi="楷体" w:eastAsia="楷体" w:cs="Times New Roman"/>
          <w:sz w:val="32"/>
          <w:szCs w:val="32"/>
        </w:rPr>
      </w:pPr>
    </w:p>
    <w:p>
      <w:pPr>
        <w:rPr>
          <w:rFonts w:ascii="黑体" w:hAnsi="黑体" w:eastAsia="黑体" w:cs="黑体"/>
          <w:sz w:val="32"/>
          <w:szCs w:val="32"/>
        </w:rPr>
      </w:pPr>
      <w:r>
        <w:rPr>
          <w:rFonts w:hint="eastAsia" w:ascii="黑体" w:hAnsi="黑体" w:eastAsia="黑体" w:cs="黑体"/>
          <w:sz w:val="32"/>
          <w:szCs w:val="32"/>
        </w:rPr>
        <w:t>第二部分益阳市生态环境局（本级）</w:t>
      </w:r>
      <w:r>
        <w:rPr>
          <w:rFonts w:ascii="黑体" w:hAnsi="黑体" w:eastAsia="黑体" w:cs="黑体"/>
          <w:sz w:val="32"/>
          <w:szCs w:val="32"/>
        </w:rPr>
        <w:t>201</w:t>
      </w:r>
      <w:r>
        <w:rPr>
          <w:rFonts w:hint="eastAsia" w:ascii="黑体" w:hAnsi="黑体" w:eastAsia="黑体" w:cs="黑体"/>
          <w:sz w:val="32"/>
          <w:szCs w:val="32"/>
        </w:rPr>
        <w:t>9</w:t>
      </w:r>
      <w:r>
        <w:rPr>
          <w:rFonts w:ascii="黑体" w:hAnsi="黑体" w:eastAsia="黑体" w:cs="黑体"/>
          <w:sz w:val="32"/>
          <w:szCs w:val="32"/>
        </w:rPr>
        <w:t xml:space="preserve"> </w:t>
      </w:r>
      <w:r>
        <w:rPr>
          <w:rFonts w:hint="eastAsia" w:ascii="黑体" w:hAnsi="黑体" w:eastAsia="黑体" w:cs="黑体"/>
          <w:sz w:val="32"/>
          <w:szCs w:val="32"/>
        </w:rPr>
        <w:t>年度部门决算表</w:t>
      </w:r>
      <w:r>
        <w:rPr>
          <w:rFonts w:ascii="黑体" w:hAnsi="黑体" w:eastAsia="黑体" w:cs="黑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一、收入支出决算总表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二、收入决算表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三、支出决算表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四、财政拨款收入支出决算总表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五、一般公共预算财政拨款支出决算表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六、一般公共预算财政拨款基本支出决算表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七、一般公共预算财政拨款“三公”经费支出决算表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八、政府性基金预算财政拨款收入支出决算表</w:t>
      </w:r>
      <w:r>
        <w:rPr>
          <w:rFonts w:ascii="楷体" w:hAnsi="楷体" w:eastAsia="楷体" w:cs="楷体"/>
          <w:sz w:val="32"/>
          <w:szCs w:val="32"/>
        </w:rPr>
        <w:t xml:space="preserve"> </w:t>
      </w:r>
    </w:p>
    <w:p>
      <w:pPr>
        <w:rPr>
          <w:rFonts w:ascii="楷体" w:hAnsi="楷体" w:eastAsia="楷体" w:cs="Times New Roman"/>
          <w:sz w:val="32"/>
          <w:szCs w:val="32"/>
        </w:rPr>
      </w:pPr>
    </w:p>
    <w:p>
      <w:pPr>
        <w:rPr>
          <w:rFonts w:ascii="黑体" w:hAnsi="黑体" w:eastAsia="黑体" w:cs="黑体"/>
          <w:sz w:val="32"/>
          <w:szCs w:val="32"/>
        </w:rPr>
      </w:pPr>
      <w:r>
        <w:rPr>
          <w:rFonts w:hint="eastAsia" w:ascii="黑体" w:hAnsi="黑体" w:eastAsia="黑体" w:cs="黑体"/>
          <w:sz w:val="32"/>
          <w:szCs w:val="32"/>
        </w:rPr>
        <w:t>第三部分益阳市生态环境局（本级）</w:t>
      </w:r>
      <w:r>
        <w:rPr>
          <w:rFonts w:ascii="黑体" w:hAnsi="黑体" w:eastAsia="黑体" w:cs="黑体"/>
          <w:sz w:val="32"/>
          <w:szCs w:val="32"/>
        </w:rPr>
        <w:t>201</w:t>
      </w:r>
      <w:r>
        <w:rPr>
          <w:rFonts w:hint="eastAsia" w:ascii="黑体" w:hAnsi="黑体" w:eastAsia="黑体" w:cs="黑体"/>
          <w:sz w:val="32"/>
          <w:szCs w:val="32"/>
        </w:rPr>
        <w:t>9年度部门决算情况说明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Times New Roman"/>
          <w:sz w:val="32"/>
          <w:szCs w:val="32"/>
        </w:rPr>
      </w:pPr>
    </w:p>
    <w:p>
      <w:pPr>
        <w:rPr>
          <w:rFonts w:ascii="黑体" w:hAnsi="黑体" w:eastAsia="黑体" w:cs="黑体"/>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rPr>
          <w:rFonts w:ascii="黑体" w:hAnsi="黑体" w:eastAsia="黑体" w:cs="黑体"/>
          <w:sz w:val="32"/>
        </w:rPr>
      </w:pPr>
      <w:r>
        <w:rPr>
          <w:rFonts w:hint="eastAsia" w:ascii="黑体" w:hAnsi="黑体" w:eastAsia="黑体" w:cs="黑体"/>
          <w:sz w:val="32"/>
        </w:rPr>
        <w:t>第五部分 附件</w:t>
      </w:r>
    </w:p>
    <w:p>
      <w:pPr>
        <w:rPr>
          <w:rFonts w:ascii="黑体" w:hAnsi="黑体" w:eastAsia="黑体" w:cs="Times New Roman"/>
          <w:sz w:val="32"/>
          <w:szCs w:val="32"/>
        </w:rPr>
      </w:pPr>
    </w:p>
    <w:p>
      <w:pPr>
        <w:jc w:val="center"/>
        <w:rPr>
          <w:rFonts w:ascii="宋体" w:cs="Times New Roman"/>
          <w:sz w:val="44"/>
          <w:szCs w:val="44"/>
        </w:rPr>
      </w:pPr>
    </w:p>
    <w:p>
      <w:pPr>
        <w:jc w:val="center"/>
        <w:rPr>
          <w:rFonts w:ascii="宋体" w:cs="Times New Roman"/>
          <w:sz w:val="44"/>
          <w:szCs w:val="44"/>
        </w:rPr>
      </w:pPr>
    </w:p>
    <w:p>
      <w:pPr>
        <w:jc w:val="center"/>
        <w:rPr>
          <w:rFonts w:ascii="宋体" w:cs="Times New Roman"/>
          <w:sz w:val="44"/>
          <w:szCs w:val="44"/>
        </w:rPr>
      </w:pPr>
    </w:p>
    <w:p>
      <w:pPr>
        <w:jc w:val="center"/>
        <w:rPr>
          <w:rFonts w:ascii="宋体" w:cs="Times New Roman"/>
          <w:sz w:val="44"/>
          <w:szCs w:val="44"/>
        </w:rPr>
      </w:pPr>
    </w:p>
    <w:p>
      <w:pPr>
        <w:jc w:val="center"/>
        <w:rPr>
          <w:rFonts w:ascii="宋体" w:cs="Times New Roman"/>
          <w:sz w:val="44"/>
          <w:szCs w:val="44"/>
        </w:rPr>
      </w:pPr>
    </w:p>
    <w:p>
      <w:pPr>
        <w:jc w:val="center"/>
        <w:rPr>
          <w:rFonts w:ascii="宋体" w:cs="Times New Roman"/>
          <w:sz w:val="44"/>
          <w:szCs w:val="44"/>
        </w:rPr>
      </w:pPr>
    </w:p>
    <w:p>
      <w:pPr>
        <w:jc w:val="center"/>
        <w:rPr>
          <w:rFonts w:ascii="宋体" w:cs="Times New Roman"/>
          <w:sz w:val="44"/>
          <w:szCs w:val="44"/>
        </w:rPr>
      </w:pPr>
    </w:p>
    <w:p>
      <w:pPr>
        <w:jc w:val="center"/>
        <w:rPr>
          <w:rFonts w:ascii="宋体" w:cs="Times New Roman"/>
          <w:sz w:val="44"/>
          <w:szCs w:val="44"/>
        </w:rPr>
      </w:pPr>
    </w:p>
    <w:p>
      <w:pPr>
        <w:jc w:val="center"/>
        <w:rPr>
          <w:rFonts w:ascii="宋体" w:cs="Times New Roman"/>
          <w:sz w:val="44"/>
          <w:szCs w:val="44"/>
        </w:rPr>
      </w:pPr>
    </w:p>
    <w:p>
      <w:pPr>
        <w:jc w:val="center"/>
        <w:rPr>
          <w:rFonts w:ascii="宋体" w:cs="Times New Roman"/>
          <w:sz w:val="44"/>
          <w:szCs w:val="44"/>
        </w:rPr>
      </w:pPr>
    </w:p>
    <w:p>
      <w:pPr>
        <w:jc w:val="center"/>
        <w:rPr>
          <w:rFonts w:ascii="仿宋" w:hAnsi="仿宋" w:eastAsia="仿宋" w:cs="宋体"/>
          <w:sz w:val="44"/>
        </w:rPr>
      </w:pPr>
      <w:r>
        <w:rPr>
          <w:rFonts w:ascii="仿宋" w:hAnsi="仿宋" w:eastAsia="仿宋" w:cs="宋体"/>
          <w:sz w:val="44"/>
        </w:rPr>
        <w:t>第一部分</w:t>
      </w:r>
    </w:p>
    <w:p>
      <w:pPr>
        <w:jc w:val="center"/>
        <w:rPr>
          <w:rFonts w:ascii="仿宋" w:hAnsi="仿宋" w:eastAsia="仿宋" w:cs="宋体"/>
          <w:sz w:val="44"/>
        </w:rPr>
      </w:pPr>
      <w:r>
        <w:rPr>
          <w:rFonts w:ascii="仿宋" w:hAnsi="仿宋" w:eastAsia="仿宋" w:cs="方正小标宋_GBK"/>
          <w:sz w:val="44"/>
        </w:rPr>
        <w:t xml:space="preserve"> </w:t>
      </w:r>
      <w:r>
        <w:rPr>
          <w:rFonts w:hint="eastAsia" w:ascii="仿宋" w:hAnsi="仿宋" w:eastAsia="仿宋" w:cs="方正小标宋_GBK"/>
          <w:sz w:val="44"/>
        </w:rPr>
        <w:t>益阳市生态环境局（本级）</w:t>
      </w:r>
      <w:r>
        <w:rPr>
          <w:rFonts w:ascii="仿宋" w:hAnsi="仿宋" w:eastAsia="仿宋" w:cs="宋体"/>
          <w:sz w:val="44"/>
        </w:rPr>
        <w:t>概况</w:t>
      </w:r>
    </w:p>
    <w:p>
      <w:pPr>
        <w:jc w:val="left"/>
        <w:rPr>
          <w:rFonts w:ascii="仿宋" w:hAnsi="仿宋" w:eastAsia="仿宋" w:cs="Times New Roman"/>
          <w:sz w:val="44"/>
          <w:szCs w:val="44"/>
        </w:rPr>
      </w:pPr>
    </w:p>
    <w:p>
      <w:pPr>
        <w:numPr>
          <w:ilvl w:val="0"/>
          <w:numId w:val="1"/>
        </w:numPr>
        <w:spacing w:line="600" w:lineRule="exact"/>
        <w:rPr>
          <w:rFonts w:ascii="黑体" w:hAnsi="黑体" w:eastAsia="黑体" w:cs="黑体"/>
          <w:sz w:val="32"/>
        </w:rPr>
      </w:pPr>
      <w:r>
        <w:rPr>
          <w:rFonts w:hint="eastAsia" w:ascii="黑体" w:hAnsi="黑体" w:eastAsia="黑体" w:cs="黑体"/>
          <w:sz w:val="32"/>
        </w:rPr>
        <w:t>部门职责</w:t>
      </w:r>
    </w:p>
    <w:p>
      <w:pPr>
        <w:spacing w:line="600" w:lineRule="exact"/>
        <w:ind w:firstLine="480" w:firstLineChars="150"/>
        <w:rPr>
          <w:rStyle w:val="13"/>
          <w:rFonts w:ascii="仿宋" w:hAnsi="仿宋" w:eastAsia="仿宋"/>
          <w:b w:val="0"/>
        </w:rPr>
      </w:pPr>
      <w:r>
        <w:rPr>
          <w:rStyle w:val="13"/>
          <w:rFonts w:hint="eastAsia" w:ascii="仿宋" w:hAnsi="仿宋" w:eastAsia="仿宋"/>
          <w:b w:val="0"/>
        </w:rPr>
        <w:t xml:space="preserve">益阳市生态环境局是市人民政府组成单位，在市人民政府的领导下负责本辖区的环境保护工作。其主要职责职能： </w:t>
      </w:r>
    </w:p>
    <w:p>
      <w:pPr>
        <w:spacing w:line="600" w:lineRule="exact"/>
        <w:ind w:firstLine="480" w:firstLineChars="150"/>
        <w:rPr>
          <w:rStyle w:val="13"/>
          <w:rFonts w:ascii="仿宋" w:hAnsi="仿宋" w:eastAsia="仿宋"/>
          <w:b w:val="0"/>
        </w:rPr>
      </w:pPr>
      <w:r>
        <w:rPr>
          <w:rStyle w:val="13"/>
          <w:rFonts w:hint="eastAsia" w:ascii="仿宋" w:hAnsi="仿宋" w:eastAsia="仿宋"/>
          <w:b w:val="0"/>
        </w:rPr>
        <w:t xml:space="preserve">（一）在同级人民政府领导下，贯彻执行国家环境保护的方针、政策和法律、法规，建立健全本行政区域环境保护法规和制度，对本级人民政府相关部门和下级人民政府、企事业单位履行环境保护职责进行综合协调和统一监督管理。 </w:t>
      </w:r>
    </w:p>
    <w:p>
      <w:pPr>
        <w:spacing w:line="600" w:lineRule="exact"/>
        <w:ind w:firstLine="480" w:firstLineChars="150"/>
        <w:rPr>
          <w:rStyle w:val="13"/>
          <w:rFonts w:ascii="仿宋" w:hAnsi="仿宋" w:eastAsia="仿宋"/>
          <w:b w:val="0"/>
        </w:rPr>
      </w:pPr>
      <w:r>
        <w:rPr>
          <w:rStyle w:val="13"/>
          <w:rFonts w:hint="eastAsia" w:ascii="仿宋" w:hAnsi="仿宋" w:eastAsia="仿宋"/>
          <w:b w:val="0"/>
        </w:rPr>
        <w:t xml:space="preserve">（二）监督管理本行政区域环境保护管理制度的实施。结合本地实际，建立健全排污许可、环境影响评价、环保“三同时”、排污收费、总量控制、污染减排、区域限批、企业环境行为监管等环境保护管理制度，并组织和监督实施。 </w:t>
      </w:r>
    </w:p>
    <w:p>
      <w:pPr>
        <w:spacing w:line="600" w:lineRule="exact"/>
        <w:ind w:firstLine="480" w:firstLineChars="150"/>
        <w:rPr>
          <w:rStyle w:val="13"/>
          <w:rFonts w:ascii="仿宋" w:hAnsi="仿宋" w:eastAsia="仿宋"/>
          <w:b w:val="0"/>
        </w:rPr>
      </w:pPr>
      <w:r>
        <w:rPr>
          <w:rStyle w:val="13"/>
          <w:rFonts w:hint="eastAsia" w:ascii="仿宋" w:hAnsi="仿宋" w:eastAsia="仿宋"/>
          <w:b w:val="0"/>
        </w:rPr>
        <w:t xml:space="preserve">（三）负责编制本行政区域环境功能区划、环境保护规划和计划，编制本行政区域重点区域、流域污染防治规划和饮用水水源地环境保护规划等专项规划，报同级人民政府批准后组织实施。参与编制主体功能区规划，配合相关部门实施。 </w:t>
      </w:r>
    </w:p>
    <w:p>
      <w:pPr>
        <w:spacing w:line="600" w:lineRule="exact"/>
        <w:ind w:firstLine="480" w:firstLineChars="150"/>
        <w:rPr>
          <w:rStyle w:val="13"/>
          <w:rFonts w:ascii="仿宋" w:hAnsi="仿宋" w:eastAsia="仿宋"/>
          <w:b w:val="0"/>
        </w:rPr>
      </w:pPr>
      <w:r>
        <w:rPr>
          <w:rStyle w:val="13"/>
          <w:rFonts w:hint="eastAsia" w:ascii="仿宋" w:hAnsi="仿宋" w:eastAsia="仿宋"/>
          <w:b w:val="0"/>
        </w:rPr>
        <w:t xml:space="preserve">（四）负责本行政区域生态环境保护工作。拟订生态保护规划，指导、协调、监督各种类型的自然保护区域的保护和环境管理。 </w:t>
      </w:r>
    </w:p>
    <w:p>
      <w:pPr>
        <w:spacing w:line="600" w:lineRule="exact"/>
        <w:ind w:firstLine="480" w:firstLineChars="150"/>
        <w:rPr>
          <w:rStyle w:val="13"/>
          <w:rFonts w:ascii="仿宋" w:hAnsi="仿宋" w:eastAsia="仿宋"/>
          <w:b w:val="0"/>
        </w:rPr>
      </w:pPr>
      <w:r>
        <w:rPr>
          <w:rStyle w:val="13"/>
          <w:rFonts w:hint="eastAsia" w:ascii="仿宋" w:hAnsi="仿宋" w:eastAsia="仿宋"/>
          <w:b w:val="0"/>
        </w:rPr>
        <w:t xml:space="preserve">（五）负责本行政区域环境保护行政执法监管。制定执法计划，开展执法检查，查处环境违法行为；监督其他负有环境保护职责的部门依法履行职责，依法对各类环境保护责任主体履行环境保护义务的情况进行监督。 </w:t>
      </w:r>
    </w:p>
    <w:p>
      <w:pPr>
        <w:spacing w:line="600" w:lineRule="exact"/>
        <w:ind w:firstLine="480" w:firstLineChars="150"/>
        <w:rPr>
          <w:rStyle w:val="13"/>
          <w:rFonts w:ascii="仿宋" w:hAnsi="仿宋" w:eastAsia="仿宋"/>
          <w:b w:val="0"/>
        </w:rPr>
      </w:pPr>
      <w:r>
        <w:rPr>
          <w:rStyle w:val="13"/>
          <w:rFonts w:hint="eastAsia" w:ascii="仿宋" w:hAnsi="仿宋" w:eastAsia="仿宋"/>
          <w:b w:val="0"/>
        </w:rPr>
        <w:t xml:space="preserve">（六）负责本行政区域环境监测管理工作。依法制定环境监测规划，规划建设环境监测网络，按照国家相关规范，统一规划环境质量监测站（点）的设置，组织实施环境质量监测和污染源监督性监测。 </w:t>
      </w:r>
    </w:p>
    <w:p>
      <w:pPr>
        <w:spacing w:line="600" w:lineRule="exact"/>
        <w:ind w:firstLine="480" w:firstLineChars="150"/>
        <w:rPr>
          <w:rStyle w:val="13"/>
          <w:rFonts w:ascii="仿宋" w:hAnsi="仿宋" w:eastAsia="仿宋"/>
          <w:b w:val="0"/>
        </w:rPr>
      </w:pPr>
      <w:r>
        <w:rPr>
          <w:rStyle w:val="13"/>
          <w:rFonts w:hint="eastAsia" w:ascii="仿宋" w:hAnsi="仿宋" w:eastAsia="仿宋"/>
          <w:b w:val="0"/>
        </w:rPr>
        <w:t xml:space="preserve">（七）负责本行政区域环境污染防治监督管理工作，加强对包括核与辐射、危险废物在内的各类污染源的监督管理。会同有关部门加强饮用水水源地环境保护、城乡环境综合整治等工作。 </w:t>
      </w:r>
    </w:p>
    <w:p>
      <w:pPr>
        <w:spacing w:line="600" w:lineRule="exact"/>
        <w:ind w:firstLine="480" w:firstLineChars="150"/>
        <w:rPr>
          <w:rStyle w:val="13"/>
          <w:rFonts w:ascii="仿宋" w:hAnsi="仿宋" w:eastAsia="仿宋"/>
          <w:b w:val="0"/>
        </w:rPr>
      </w:pPr>
      <w:r>
        <w:rPr>
          <w:rStyle w:val="13"/>
          <w:rFonts w:hint="eastAsia" w:ascii="仿宋" w:hAnsi="仿宋" w:eastAsia="仿宋"/>
          <w:b w:val="0"/>
        </w:rPr>
        <w:t xml:space="preserve">（八）负责编制环境应急预案报同级人民政府批准后实施。在同级人民政府领导下，会同有关部门依法调查处理本行政区域环境污染事故，协调处理污染纠纷。 </w:t>
      </w:r>
    </w:p>
    <w:p>
      <w:pPr>
        <w:spacing w:line="600" w:lineRule="exact"/>
        <w:ind w:firstLine="480" w:firstLineChars="150"/>
        <w:rPr>
          <w:rStyle w:val="13"/>
          <w:rFonts w:ascii="仿宋" w:hAnsi="仿宋" w:eastAsia="仿宋"/>
          <w:b w:val="0"/>
        </w:rPr>
      </w:pPr>
      <w:r>
        <w:rPr>
          <w:rStyle w:val="13"/>
          <w:rFonts w:hint="eastAsia" w:ascii="仿宋" w:hAnsi="仿宋" w:eastAsia="仿宋"/>
          <w:b w:val="0"/>
        </w:rPr>
        <w:t xml:space="preserve">（九）拟定本行政区域环境保护经济政策，提出环境保护领域固定资产投资规模和方向、财政性资金安排建议，报同级人民政府批准后实施。组织指导排污权有偿使用和交易工作，建立健全企事业单位环境行为信用评价管理制度。 </w:t>
      </w:r>
    </w:p>
    <w:p>
      <w:pPr>
        <w:spacing w:line="600" w:lineRule="exact"/>
        <w:ind w:firstLine="480" w:firstLineChars="150"/>
        <w:rPr>
          <w:rStyle w:val="13"/>
          <w:rFonts w:ascii="仿宋" w:hAnsi="仿宋" w:eastAsia="仿宋"/>
          <w:b w:val="0"/>
        </w:rPr>
      </w:pPr>
      <w:r>
        <w:rPr>
          <w:rStyle w:val="13"/>
          <w:rFonts w:hint="eastAsia" w:ascii="仿宋" w:hAnsi="仿宋" w:eastAsia="仿宋"/>
          <w:b w:val="0"/>
        </w:rPr>
        <w:t xml:space="preserve">（十）会同有关部门采取措施，指导和推动本行政区域环境科进步和环保产业发展，开展环境保护对外合作与交流。 </w:t>
      </w:r>
    </w:p>
    <w:p>
      <w:pPr>
        <w:spacing w:line="600" w:lineRule="exact"/>
        <w:ind w:firstLine="480" w:firstLineChars="150"/>
        <w:rPr>
          <w:rStyle w:val="13"/>
          <w:rFonts w:ascii="仿宋" w:hAnsi="仿宋" w:eastAsia="仿宋"/>
          <w:b w:val="0"/>
        </w:rPr>
      </w:pPr>
      <w:r>
        <w:rPr>
          <w:rStyle w:val="13"/>
          <w:rFonts w:hint="eastAsia" w:ascii="仿宋" w:hAnsi="仿宋" w:eastAsia="仿宋"/>
          <w:b w:val="0"/>
        </w:rPr>
        <w:t xml:space="preserve">（十一）组织、指导和协调本行政区域环境保护法制建设、环境保护宣传教育工作，推动社会公众和社会组织广泛参与环境保护。 </w:t>
      </w:r>
    </w:p>
    <w:p>
      <w:pPr>
        <w:spacing w:line="600" w:lineRule="exact"/>
        <w:ind w:firstLine="480" w:firstLineChars="150"/>
        <w:rPr>
          <w:rStyle w:val="13"/>
          <w:rFonts w:ascii="仿宋" w:hAnsi="仿宋" w:eastAsia="仿宋"/>
          <w:b w:val="0"/>
        </w:rPr>
      </w:pPr>
      <w:r>
        <w:rPr>
          <w:rStyle w:val="13"/>
          <w:rFonts w:hint="eastAsia" w:ascii="仿宋" w:hAnsi="仿宋" w:eastAsia="仿宋"/>
          <w:b w:val="0"/>
        </w:rPr>
        <w:t xml:space="preserve">（十二）负责本行政区域环境信息发布工作，编制并发布环境量状况报告、重点污染源监督性监测报告，发布重大环境事件处置情况信息，依法公开环境信息，指导并监督重点污染企业环境信息公开。 </w:t>
      </w:r>
    </w:p>
    <w:p>
      <w:pPr>
        <w:spacing w:line="600" w:lineRule="exact"/>
        <w:ind w:firstLine="480" w:firstLineChars="150"/>
        <w:rPr>
          <w:rStyle w:val="13"/>
          <w:rFonts w:ascii="仿宋" w:hAnsi="仿宋" w:eastAsia="仿宋" w:cs="黑体"/>
          <w:b w:val="0"/>
          <w:bCs w:val="0"/>
        </w:rPr>
      </w:pPr>
      <w:r>
        <w:rPr>
          <w:rStyle w:val="13"/>
          <w:rFonts w:hint="eastAsia" w:ascii="仿宋" w:hAnsi="仿宋" w:eastAsia="仿宋"/>
          <w:b w:val="0"/>
        </w:rPr>
        <w:t>（十三）制定并组织实施本行政区域环境保护目标责任制。受同级人民政府委托，将本行政区域环境保护重点工作任务分解落实到同级政府相关部门、下级人民政府、相关企业，并组织对工作目标完成情况进行监督。</w:t>
      </w:r>
    </w:p>
    <w:p>
      <w:pPr>
        <w:spacing w:line="600" w:lineRule="exact"/>
        <w:rPr>
          <w:rFonts w:ascii="黑体" w:hAnsi="黑体" w:eastAsia="黑体" w:cs="黑体"/>
          <w:sz w:val="32"/>
        </w:rPr>
      </w:pPr>
    </w:p>
    <w:p>
      <w:pPr>
        <w:numPr>
          <w:ilvl w:val="0"/>
          <w:numId w:val="1"/>
        </w:numPr>
        <w:spacing w:line="600" w:lineRule="exact"/>
        <w:rPr>
          <w:rFonts w:ascii="仿宋" w:hAnsi="仿宋" w:eastAsia="仿宋" w:cs="黑体"/>
          <w:b/>
          <w:sz w:val="32"/>
          <w:szCs w:val="32"/>
        </w:rPr>
      </w:pPr>
      <w:r>
        <w:rPr>
          <w:rFonts w:hint="eastAsia" w:ascii="仿宋" w:hAnsi="仿宋" w:eastAsia="仿宋" w:cs="黑体"/>
          <w:b/>
          <w:sz w:val="32"/>
          <w:szCs w:val="32"/>
        </w:rPr>
        <w:t>机构设置</w:t>
      </w:r>
    </w:p>
    <w:p>
      <w:pPr>
        <w:spacing w:line="600" w:lineRule="exact"/>
        <w:ind w:firstLine="640" w:firstLineChars="200"/>
        <w:rPr>
          <w:rStyle w:val="13"/>
          <w:rFonts w:ascii="仿宋" w:hAnsi="仿宋" w:eastAsia="仿宋"/>
          <w:b w:val="0"/>
        </w:rPr>
      </w:pPr>
      <w:r>
        <w:rPr>
          <w:rStyle w:val="13"/>
          <w:rFonts w:hint="eastAsia" w:ascii="仿宋" w:hAnsi="仿宋" w:eastAsia="仿宋"/>
          <w:b w:val="0"/>
        </w:rPr>
        <w:t>益阳市生态环境局内设14个</w:t>
      </w:r>
      <w:r>
        <w:rPr>
          <w:rFonts w:hint="eastAsia" w:ascii="仿宋" w:hAnsi="仿宋" w:eastAsia="仿宋"/>
          <w:sz w:val="32"/>
          <w:szCs w:val="32"/>
        </w:rPr>
        <w:t>职能科室</w:t>
      </w:r>
      <w:r>
        <w:rPr>
          <w:rStyle w:val="13"/>
          <w:rFonts w:hint="eastAsia" w:ascii="仿宋" w:hAnsi="仿宋" w:eastAsia="仿宋"/>
          <w:b w:val="0"/>
        </w:rPr>
        <w:t>，分别是办公室、污染管理科、自然生态保护科、减排与总量控制科、环境影响评价科（行政审批协调科）、核与辐射管理科（市核事故应急管理办公室）、固体废物管理科、法制宣教、科技监测科、财务科、人事科、纪检监察室和机关党委和机关工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局属二级单位4个和3个派出机构。其中独立核算的单位有1个：益阳市环境监测站；非独立核算的单位有6个：益阳市环境监察支队、益阳市环境保护信息中心、益阳市主要污染物排污权储备中心、益阳市生态环境局资阳分局、益阳市生态环境局赫山分局、益阳市生态环境局高新区分局。</w:t>
      </w:r>
    </w:p>
    <w:p>
      <w:pPr>
        <w:spacing w:line="600" w:lineRule="exact"/>
        <w:ind w:left="105" w:leftChars="50" w:firstLine="321" w:firstLineChars="100"/>
        <w:rPr>
          <w:rFonts w:ascii="仿宋" w:hAnsi="仿宋" w:eastAsia="仿宋" w:cs="Times New Roman"/>
          <w:b/>
          <w:sz w:val="32"/>
          <w:szCs w:val="32"/>
        </w:rPr>
      </w:pPr>
    </w:p>
    <w:p>
      <w:pPr>
        <w:spacing w:line="600" w:lineRule="exact"/>
        <w:ind w:left="795" w:hanging="795"/>
        <w:rPr>
          <w:rFonts w:ascii="仿宋" w:hAnsi="仿宋" w:eastAsia="仿宋" w:cs="Times New Roman"/>
          <w:b/>
          <w:sz w:val="32"/>
          <w:szCs w:val="32"/>
        </w:rPr>
      </w:pPr>
      <w:r>
        <w:rPr>
          <w:rFonts w:hint="eastAsia" w:ascii="仿宋" w:hAnsi="仿宋" w:eastAsia="仿宋" w:cs="黑体"/>
          <w:b/>
          <w:sz w:val="32"/>
          <w:szCs w:val="32"/>
        </w:rPr>
        <w:t>三、部门决算单位构成</w:t>
      </w:r>
    </w:p>
    <w:p>
      <w:pPr>
        <w:spacing w:line="600" w:lineRule="exact"/>
        <w:ind w:firstLine="640"/>
        <w:rPr>
          <w:rFonts w:ascii="仿宋" w:hAnsi="仿宋" w:eastAsia="仿宋" w:cs="Times New Roman"/>
          <w:sz w:val="32"/>
          <w:szCs w:val="32"/>
        </w:rPr>
      </w:pPr>
      <w:r>
        <w:rPr>
          <w:rFonts w:hint="eastAsia" w:ascii="仿宋" w:hAnsi="仿宋" w:eastAsia="仿宋" w:cs="仿宋"/>
          <w:sz w:val="32"/>
          <w:szCs w:val="32"/>
        </w:rPr>
        <w:t>从决算单位构成看，益阳市生态环境局（本级）部门决算包括：益阳市生态环境局局机关部门决算、益阳市环境监察支队部门决算、益阳市环境信息中心部门决算、</w:t>
      </w:r>
      <w:r>
        <w:rPr>
          <w:rFonts w:hint="eastAsia" w:ascii="仿宋" w:hAnsi="仿宋" w:eastAsia="仿宋"/>
          <w:sz w:val="32"/>
          <w:szCs w:val="32"/>
        </w:rPr>
        <w:t>益阳市生态环境局资阳分局</w:t>
      </w:r>
      <w:r>
        <w:rPr>
          <w:rFonts w:hint="eastAsia" w:ascii="仿宋" w:hAnsi="仿宋" w:eastAsia="仿宋" w:cs="仿宋"/>
          <w:sz w:val="32"/>
          <w:szCs w:val="32"/>
        </w:rPr>
        <w:t>部门决算、</w:t>
      </w:r>
      <w:r>
        <w:rPr>
          <w:rFonts w:hint="eastAsia" w:ascii="仿宋" w:hAnsi="仿宋" w:eastAsia="仿宋"/>
          <w:sz w:val="32"/>
          <w:szCs w:val="32"/>
        </w:rPr>
        <w:t>益阳市生态环境局赫山分局</w:t>
      </w:r>
      <w:r>
        <w:rPr>
          <w:rFonts w:hint="eastAsia" w:ascii="仿宋" w:hAnsi="仿宋" w:eastAsia="仿宋" w:cs="仿宋"/>
          <w:sz w:val="32"/>
          <w:szCs w:val="32"/>
        </w:rPr>
        <w:t>部门决算、</w:t>
      </w:r>
      <w:r>
        <w:rPr>
          <w:rFonts w:hint="eastAsia" w:ascii="仿宋" w:hAnsi="仿宋" w:eastAsia="仿宋"/>
          <w:sz w:val="32"/>
          <w:szCs w:val="32"/>
        </w:rPr>
        <w:t>益阳市生态环境局高新区分局</w:t>
      </w:r>
      <w:r>
        <w:rPr>
          <w:rFonts w:hint="eastAsia" w:ascii="仿宋" w:hAnsi="仿宋" w:eastAsia="仿宋" w:cs="仿宋"/>
          <w:sz w:val="32"/>
          <w:szCs w:val="32"/>
        </w:rPr>
        <w:t>部门决算、益阳市主要污染物排污权储备中心决算。</w:t>
      </w:r>
    </w:p>
    <w:tbl>
      <w:tblPr>
        <w:tblStyle w:val="7"/>
        <w:tblW w:w="0" w:type="auto"/>
        <w:tblInd w:w="-8" w:type="dxa"/>
        <w:tblLayout w:type="autofit"/>
        <w:tblCellMar>
          <w:top w:w="0" w:type="dxa"/>
          <w:left w:w="10" w:type="dxa"/>
          <w:bottom w:w="0" w:type="dxa"/>
          <w:right w:w="10" w:type="dxa"/>
        </w:tblCellMar>
      </w:tblPr>
      <w:tblGrid>
        <w:gridCol w:w="2235"/>
        <w:gridCol w:w="6287"/>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jc w:val="center"/>
              <w:rPr>
                <w:rFonts w:ascii="仿宋" w:hAnsi="仿宋" w:eastAsia="仿宋" w:cs="Times New Roman"/>
              </w:rPr>
            </w:pPr>
            <w:r>
              <w:rPr>
                <w:rFonts w:hint="eastAsia" w:ascii="仿宋" w:hAnsi="仿宋" w:eastAsia="仿宋" w:cs="仿宋"/>
                <w:b/>
                <w:bCs/>
                <w:sz w:val="28"/>
                <w:szCs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jc w:val="center"/>
              <w:rPr>
                <w:rFonts w:ascii="仿宋" w:hAnsi="仿宋" w:eastAsia="仿宋" w:cs="Times New Roman"/>
              </w:rPr>
            </w:pPr>
            <w:r>
              <w:rPr>
                <w:rFonts w:hint="eastAsia" w:ascii="仿宋" w:hAnsi="仿宋" w:eastAsia="仿宋" w:cs="仿宋"/>
                <w:b/>
                <w:bCs/>
                <w:sz w:val="28"/>
                <w:szCs w:val="28"/>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jc w:val="center"/>
              <w:rPr>
                <w:rFonts w:ascii="仿宋" w:hAnsi="仿宋" w:eastAsia="仿宋" w:cs="Times New Roman"/>
              </w:rPr>
            </w:pPr>
            <w:r>
              <w:rPr>
                <w:rFonts w:ascii="仿宋" w:hAnsi="仿宋" w:eastAsia="仿宋" w:cs="仿宋"/>
                <w:b/>
                <w:bCs/>
                <w:sz w:val="28"/>
                <w:szCs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rPr>
                <w:rFonts w:ascii="仿宋" w:hAnsi="仿宋" w:eastAsia="仿宋" w:cs="Times New Roman"/>
                <w:sz w:val="22"/>
              </w:rPr>
            </w:pPr>
            <w:r>
              <w:rPr>
                <w:rFonts w:hint="eastAsia" w:ascii="仿宋" w:hAnsi="仿宋" w:eastAsia="仿宋" w:cs="仿宋"/>
                <w:sz w:val="32"/>
                <w:szCs w:val="32"/>
              </w:rPr>
              <w:t>益阳市生态环境局局机关</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jc w:val="center"/>
              <w:rPr>
                <w:rFonts w:ascii="仿宋" w:hAnsi="仿宋" w:eastAsia="仿宋" w:cs="Times New Roman"/>
              </w:rPr>
            </w:pPr>
            <w:r>
              <w:rPr>
                <w:rFonts w:ascii="仿宋" w:hAnsi="仿宋" w:eastAsia="仿宋" w:cs="仿宋"/>
                <w:b/>
                <w:bCs/>
                <w:sz w:val="28"/>
                <w:szCs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rPr>
                <w:rFonts w:ascii="仿宋" w:hAnsi="仿宋" w:eastAsia="仿宋" w:cs="Times New Roman"/>
                <w:sz w:val="22"/>
              </w:rPr>
            </w:pPr>
            <w:r>
              <w:rPr>
                <w:rFonts w:hint="eastAsia" w:ascii="仿宋" w:hAnsi="仿宋" w:eastAsia="仿宋" w:cs="仿宋"/>
                <w:sz w:val="32"/>
                <w:szCs w:val="32"/>
              </w:rPr>
              <w:t>益阳市环境监察支队</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jc w:val="center"/>
              <w:rPr>
                <w:rFonts w:ascii="仿宋" w:hAnsi="仿宋" w:eastAsia="仿宋" w:cs="Times New Roman"/>
              </w:rPr>
            </w:pPr>
            <w:r>
              <w:rPr>
                <w:rFonts w:ascii="仿宋" w:hAnsi="仿宋" w:eastAsia="仿宋" w:cs="仿宋"/>
                <w:b/>
                <w:bCs/>
                <w:sz w:val="28"/>
                <w:szCs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rPr>
                <w:rFonts w:ascii="仿宋" w:hAnsi="仿宋" w:eastAsia="仿宋" w:cs="Times New Roman"/>
                <w:sz w:val="22"/>
              </w:rPr>
            </w:pPr>
            <w:r>
              <w:rPr>
                <w:rFonts w:hint="eastAsia" w:ascii="仿宋" w:hAnsi="仿宋" w:eastAsia="仿宋" w:cs="仿宋"/>
                <w:sz w:val="32"/>
                <w:szCs w:val="32"/>
              </w:rPr>
              <w:t>益阳市环境信息中心</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jc w:val="center"/>
              <w:rPr>
                <w:rFonts w:ascii="仿宋" w:hAnsi="仿宋" w:eastAsia="仿宋" w:cs="Times New Roman"/>
              </w:rPr>
            </w:pPr>
            <w:r>
              <w:rPr>
                <w:rFonts w:ascii="仿宋" w:hAnsi="仿宋" w:eastAsia="仿宋" w:cs="仿宋"/>
                <w:b/>
                <w:bCs/>
                <w:sz w:val="28"/>
                <w:szCs w:val="28"/>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rPr>
                <w:rFonts w:ascii="仿宋" w:hAnsi="仿宋" w:eastAsia="仿宋" w:cs="Times New Roman"/>
                <w:sz w:val="22"/>
              </w:rPr>
            </w:pPr>
            <w:r>
              <w:rPr>
                <w:rFonts w:hint="eastAsia" w:ascii="仿宋" w:hAnsi="仿宋" w:eastAsia="仿宋"/>
                <w:sz w:val="32"/>
                <w:szCs w:val="32"/>
              </w:rPr>
              <w:t>益阳市生态环境局资阳分局</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jc w:val="center"/>
              <w:rPr>
                <w:rFonts w:ascii="仿宋" w:hAnsi="仿宋" w:eastAsia="仿宋" w:cs="Times New Roman"/>
              </w:rPr>
            </w:pPr>
            <w:r>
              <w:rPr>
                <w:rFonts w:ascii="仿宋" w:hAnsi="仿宋" w:eastAsia="仿宋" w:cs="仿宋"/>
                <w:b/>
                <w:bCs/>
                <w:sz w:val="28"/>
                <w:szCs w:val="28"/>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rPr>
                <w:rFonts w:ascii="仿宋" w:hAnsi="仿宋" w:eastAsia="仿宋" w:cs="Times New Roman"/>
                <w:sz w:val="22"/>
              </w:rPr>
            </w:pPr>
            <w:r>
              <w:rPr>
                <w:rFonts w:hint="eastAsia" w:ascii="仿宋" w:hAnsi="仿宋" w:eastAsia="仿宋"/>
                <w:sz w:val="32"/>
                <w:szCs w:val="32"/>
              </w:rPr>
              <w:t>益阳市生态环境局赫山分局</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jc w:val="center"/>
              <w:rPr>
                <w:rFonts w:ascii="仿宋" w:hAnsi="仿宋" w:eastAsia="仿宋" w:cs="Times New Roman"/>
              </w:rPr>
            </w:pPr>
            <w:r>
              <w:rPr>
                <w:rFonts w:ascii="仿宋" w:hAnsi="仿宋" w:eastAsia="仿宋" w:cs="仿宋"/>
                <w:b/>
                <w:bCs/>
                <w:sz w:val="28"/>
                <w:szCs w:val="28"/>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rPr>
                <w:rFonts w:ascii="仿宋" w:hAnsi="仿宋" w:eastAsia="仿宋" w:cs="Times New Roman"/>
                <w:sz w:val="22"/>
              </w:rPr>
            </w:pPr>
            <w:r>
              <w:rPr>
                <w:rFonts w:hint="eastAsia" w:ascii="仿宋" w:hAnsi="仿宋" w:eastAsia="仿宋"/>
                <w:sz w:val="32"/>
                <w:szCs w:val="32"/>
              </w:rPr>
              <w:t>益阳市生态环境局高新区分局</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7</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600" w:lineRule="exact"/>
              <w:rPr>
                <w:rFonts w:ascii="仿宋" w:hAnsi="仿宋" w:eastAsia="仿宋" w:cs="仿宋"/>
                <w:sz w:val="32"/>
                <w:szCs w:val="32"/>
              </w:rPr>
            </w:pPr>
            <w:r>
              <w:rPr>
                <w:rFonts w:hint="eastAsia" w:ascii="仿宋" w:hAnsi="仿宋" w:eastAsia="仿宋" w:cs="仿宋"/>
                <w:sz w:val="32"/>
                <w:szCs w:val="32"/>
              </w:rPr>
              <w:t>益阳市主要污染物排污权储备中心</w:t>
            </w:r>
          </w:p>
        </w:tc>
      </w:tr>
    </w:tbl>
    <w:p>
      <w:pPr>
        <w:rPr>
          <w:rFonts w:ascii="宋体" w:cs="宋体"/>
          <w:sz w:val="44"/>
          <w:szCs w:val="44"/>
        </w:rPr>
      </w:pPr>
    </w:p>
    <w:p>
      <w:pPr>
        <w:rPr>
          <w:rFonts w:ascii="宋体" w:cs="宋体"/>
          <w:sz w:val="44"/>
          <w:szCs w:val="44"/>
        </w:rPr>
      </w:pPr>
    </w:p>
    <w:p>
      <w:pPr>
        <w:rPr>
          <w:rFonts w:ascii="仿宋" w:hAnsi="仿宋" w:eastAsia="仿宋" w:cs="宋体"/>
          <w:sz w:val="44"/>
          <w:szCs w:val="44"/>
        </w:rPr>
      </w:pPr>
    </w:p>
    <w:p>
      <w:pPr>
        <w:jc w:val="center"/>
        <w:rPr>
          <w:rFonts w:ascii="仿宋" w:hAnsi="仿宋" w:eastAsia="仿宋" w:cs="Times New Roman"/>
          <w:sz w:val="44"/>
          <w:szCs w:val="44"/>
        </w:rPr>
      </w:pPr>
      <w:r>
        <w:rPr>
          <w:rFonts w:hint="eastAsia" w:ascii="仿宋" w:hAnsi="仿宋" w:eastAsia="仿宋" w:cs="宋体"/>
          <w:sz w:val="44"/>
          <w:szCs w:val="44"/>
        </w:rPr>
        <w:t>第二部分</w:t>
      </w:r>
    </w:p>
    <w:p>
      <w:pPr>
        <w:jc w:val="center"/>
        <w:rPr>
          <w:rFonts w:ascii="仿宋" w:hAnsi="仿宋" w:eastAsia="仿宋" w:cs="Times New Roman"/>
          <w:sz w:val="44"/>
          <w:szCs w:val="44"/>
        </w:rPr>
      </w:pPr>
      <w:r>
        <w:rPr>
          <w:rFonts w:hint="eastAsia" w:ascii="仿宋" w:hAnsi="仿宋" w:eastAsia="仿宋" w:cs="方正小标宋_GBK"/>
          <w:sz w:val="44"/>
          <w:szCs w:val="44"/>
        </w:rPr>
        <w:t>益阳市生态环境局（本级）</w:t>
      </w:r>
    </w:p>
    <w:p>
      <w:pPr>
        <w:jc w:val="center"/>
        <w:rPr>
          <w:rFonts w:ascii="仿宋" w:hAnsi="仿宋" w:eastAsia="仿宋" w:cs="宋体"/>
          <w:sz w:val="44"/>
          <w:szCs w:val="44"/>
        </w:rPr>
      </w:pPr>
      <w:r>
        <w:rPr>
          <w:rFonts w:ascii="仿宋" w:hAnsi="仿宋" w:eastAsia="仿宋" w:cs="方正小标宋_GBK"/>
          <w:sz w:val="44"/>
          <w:szCs w:val="44"/>
        </w:rPr>
        <w:t>201</w:t>
      </w:r>
      <w:r>
        <w:rPr>
          <w:rFonts w:hint="eastAsia" w:ascii="仿宋" w:hAnsi="仿宋" w:eastAsia="仿宋" w:cs="方正小标宋_GBK"/>
          <w:sz w:val="44"/>
          <w:szCs w:val="44"/>
        </w:rPr>
        <w:t>9</w:t>
      </w:r>
      <w:r>
        <w:rPr>
          <w:rFonts w:hint="eastAsia" w:ascii="仿宋" w:hAnsi="仿宋" w:eastAsia="仿宋" w:cs="宋体"/>
          <w:sz w:val="44"/>
          <w:szCs w:val="44"/>
        </w:rPr>
        <w:t>年度部门决算表</w:t>
      </w:r>
    </w:p>
    <w:p>
      <w:pPr>
        <w:rPr>
          <w:rFonts w:ascii="仿宋" w:hAnsi="仿宋" w:eastAsia="仿宋" w:cs="Times New Roman"/>
          <w:sz w:val="44"/>
          <w:szCs w:val="44"/>
        </w:rPr>
      </w:pPr>
    </w:p>
    <w:p>
      <w:pPr>
        <w:spacing w:line="60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1</w:t>
      </w:r>
      <w:r>
        <w:rPr>
          <w:rFonts w:hint="eastAsia" w:ascii="仿宋" w:hAnsi="仿宋" w:eastAsia="仿宋" w:cs="仿宋"/>
          <w:sz w:val="32"/>
          <w:szCs w:val="32"/>
        </w:rPr>
        <w:t>：收入支出决算总表</w:t>
      </w:r>
    </w:p>
    <w:p>
      <w:pPr>
        <w:spacing w:line="60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2</w:t>
      </w:r>
      <w:r>
        <w:rPr>
          <w:rFonts w:hint="eastAsia" w:ascii="仿宋" w:hAnsi="仿宋" w:eastAsia="仿宋" w:cs="仿宋"/>
          <w:sz w:val="32"/>
          <w:szCs w:val="32"/>
        </w:rPr>
        <w:t>：收入决算表</w:t>
      </w:r>
    </w:p>
    <w:p>
      <w:pPr>
        <w:spacing w:line="60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3</w:t>
      </w:r>
      <w:r>
        <w:rPr>
          <w:rFonts w:hint="eastAsia" w:ascii="仿宋" w:hAnsi="仿宋" w:eastAsia="仿宋" w:cs="仿宋"/>
          <w:sz w:val="32"/>
          <w:szCs w:val="32"/>
        </w:rPr>
        <w:t>：支出决算表</w:t>
      </w:r>
    </w:p>
    <w:p>
      <w:pPr>
        <w:spacing w:line="60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4</w:t>
      </w:r>
      <w:r>
        <w:rPr>
          <w:rFonts w:hint="eastAsia" w:ascii="仿宋" w:hAnsi="仿宋" w:eastAsia="仿宋" w:cs="仿宋"/>
          <w:sz w:val="32"/>
          <w:szCs w:val="32"/>
        </w:rPr>
        <w:t>：财政拨款收入支出决算总表</w:t>
      </w:r>
    </w:p>
    <w:p>
      <w:pPr>
        <w:spacing w:line="60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5</w:t>
      </w:r>
      <w:r>
        <w:rPr>
          <w:rFonts w:hint="eastAsia" w:ascii="仿宋" w:hAnsi="仿宋" w:eastAsia="仿宋" w:cs="仿宋"/>
          <w:sz w:val="32"/>
          <w:szCs w:val="32"/>
        </w:rPr>
        <w:t>：一般公共预算财政拨款支出决算表</w:t>
      </w:r>
    </w:p>
    <w:p>
      <w:pPr>
        <w:spacing w:line="60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6</w:t>
      </w:r>
      <w:r>
        <w:rPr>
          <w:rFonts w:hint="eastAsia" w:ascii="仿宋" w:hAnsi="仿宋" w:eastAsia="仿宋" w:cs="仿宋"/>
          <w:sz w:val="32"/>
          <w:szCs w:val="32"/>
        </w:rPr>
        <w:t>：一般公共预算财政拨款基本支出决算表</w:t>
      </w:r>
    </w:p>
    <w:p>
      <w:pPr>
        <w:spacing w:line="60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7</w:t>
      </w:r>
      <w:r>
        <w:rPr>
          <w:rFonts w:hint="eastAsia" w:ascii="仿宋" w:hAnsi="仿宋" w:eastAsia="仿宋" w:cs="仿宋"/>
          <w:sz w:val="32"/>
          <w:szCs w:val="32"/>
        </w:rPr>
        <w:t>：一般公共预算财政拨款“三公”经费支出决算表</w:t>
      </w:r>
    </w:p>
    <w:p>
      <w:pPr>
        <w:spacing w:line="60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8</w:t>
      </w:r>
      <w:r>
        <w:rPr>
          <w:rFonts w:hint="eastAsia" w:ascii="仿宋" w:hAnsi="仿宋" w:eastAsia="仿宋" w:cs="仿宋"/>
          <w:sz w:val="32"/>
          <w:szCs w:val="32"/>
        </w:rPr>
        <w:t>：政府性基金预算财政拨款收入支出决算表</w:t>
      </w:r>
    </w:p>
    <w:p>
      <w:pPr>
        <w:spacing w:line="600" w:lineRule="exact"/>
        <w:ind w:firstLine="482" w:firstLineChars="150"/>
        <w:jc w:val="left"/>
        <w:rPr>
          <w:rFonts w:ascii="仿宋" w:hAnsi="仿宋" w:eastAsia="仿宋" w:cs="Times New Roman"/>
          <w:sz w:val="32"/>
          <w:szCs w:val="32"/>
        </w:rPr>
      </w:pPr>
      <w:r>
        <w:rPr>
          <w:rFonts w:hint="eastAsia" w:ascii="仿宋" w:hAnsi="仿宋" w:eastAsia="仿宋" w:cs="仿宋"/>
          <w:b/>
          <w:bCs/>
          <w:sz w:val="32"/>
          <w:szCs w:val="32"/>
        </w:rPr>
        <w:t>另说明：</w:t>
      </w:r>
      <w:r>
        <w:rPr>
          <w:rFonts w:hint="eastAsia" w:ascii="仿宋" w:hAnsi="仿宋" w:eastAsia="仿宋" w:cs="仿宋"/>
          <w:sz w:val="32"/>
          <w:szCs w:val="32"/>
        </w:rPr>
        <w:t>表</w:t>
      </w:r>
      <w:r>
        <w:rPr>
          <w:rFonts w:ascii="仿宋" w:hAnsi="仿宋" w:eastAsia="仿宋" w:cs="仿宋"/>
          <w:sz w:val="32"/>
          <w:szCs w:val="32"/>
        </w:rPr>
        <w:t>8</w:t>
      </w:r>
      <w:r>
        <w:rPr>
          <w:rFonts w:hint="eastAsia" w:ascii="仿宋" w:hAnsi="仿宋" w:eastAsia="仿宋" w:cs="仿宋"/>
          <w:sz w:val="32"/>
          <w:szCs w:val="32"/>
        </w:rPr>
        <w:t>无数据，益阳市生态环境局（本级）没有政府性基金收入，也没有政府性基金安排的支出，故本表无数据。</w:t>
      </w:r>
    </w:p>
    <w:p>
      <w:pPr>
        <w:rPr>
          <w:rFonts w:ascii="仿宋" w:hAnsi="仿宋" w:eastAsia="仿宋" w:cs="Times New Roman"/>
          <w:sz w:val="32"/>
          <w:szCs w:val="32"/>
        </w:rPr>
      </w:pPr>
    </w:p>
    <w:p>
      <w:pPr>
        <w:ind w:firstLine="3080" w:firstLineChars="700"/>
        <w:rPr>
          <w:rFonts w:ascii="仿宋" w:hAnsi="仿宋" w:eastAsia="仿宋" w:cs="宋体"/>
          <w:sz w:val="44"/>
          <w:szCs w:val="44"/>
        </w:rPr>
      </w:pPr>
    </w:p>
    <w:p>
      <w:pPr>
        <w:ind w:firstLine="3080" w:firstLineChars="700"/>
        <w:rPr>
          <w:rFonts w:ascii="仿宋" w:hAnsi="仿宋" w:eastAsia="仿宋" w:cs="宋体"/>
          <w:sz w:val="44"/>
          <w:szCs w:val="44"/>
        </w:rPr>
      </w:pPr>
    </w:p>
    <w:p>
      <w:pPr>
        <w:ind w:firstLine="3080" w:firstLineChars="700"/>
        <w:rPr>
          <w:rFonts w:ascii="仿宋" w:hAnsi="仿宋" w:eastAsia="仿宋" w:cs="宋体"/>
          <w:sz w:val="44"/>
          <w:szCs w:val="44"/>
        </w:rPr>
      </w:pPr>
    </w:p>
    <w:p>
      <w:pPr>
        <w:ind w:firstLine="3080" w:firstLineChars="700"/>
        <w:rPr>
          <w:rFonts w:ascii="仿宋" w:hAnsi="仿宋" w:eastAsia="仿宋" w:cs="宋体"/>
          <w:sz w:val="44"/>
          <w:szCs w:val="44"/>
        </w:rPr>
      </w:pPr>
    </w:p>
    <w:p>
      <w:pPr>
        <w:ind w:firstLine="3080" w:firstLineChars="700"/>
        <w:rPr>
          <w:rFonts w:ascii="仿宋" w:hAnsi="仿宋" w:eastAsia="仿宋" w:cs="宋体"/>
          <w:sz w:val="44"/>
          <w:szCs w:val="44"/>
        </w:rPr>
      </w:pPr>
    </w:p>
    <w:p>
      <w:pPr>
        <w:ind w:firstLine="3080" w:firstLineChars="700"/>
        <w:rPr>
          <w:rFonts w:ascii="仿宋" w:hAnsi="仿宋" w:eastAsia="仿宋" w:cs="宋体"/>
          <w:sz w:val="44"/>
          <w:szCs w:val="44"/>
        </w:rPr>
      </w:pPr>
    </w:p>
    <w:p>
      <w:pPr>
        <w:ind w:firstLine="3080" w:firstLineChars="700"/>
        <w:rPr>
          <w:rFonts w:ascii="仿宋" w:hAnsi="仿宋" w:eastAsia="仿宋" w:cs="Times New Roman"/>
          <w:sz w:val="44"/>
          <w:szCs w:val="44"/>
        </w:rPr>
      </w:pPr>
      <w:r>
        <w:rPr>
          <w:rFonts w:hint="eastAsia" w:ascii="仿宋" w:hAnsi="仿宋" w:eastAsia="仿宋" w:cs="宋体"/>
          <w:sz w:val="44"/>
          <w:szCs w:val="44"/>
        </w:rPr>
        <w:t>第三部分</w:t>
      </w:r>
    </w:p>
    <w:p>
      <w:pPr>
        <w:jc w:val="center"/>
        <w:rPr>
          <w:rFonts w:ascii="仿宋" w:hAnsi="仿宋" w:eastAsia="仿宋" w:cs="Times New Roman"/>
          <w:sz w:val="44"/>
          <w:szCs w:val="44"/>
        </w:rPr>
      </w:pPr>
      <w:r>
        <w:rPr>
          <w:rFonts w:hint="eastAsia" w:ascii="仿宋" w:hAnsi="仿宋" w:eastAsia="仿宋" w:cs="方正小标宋_GBK"/>
          <w:sz w:val="44"/>
          <w:szCs w:val="44"/>
        </w:rPr>
        <w:t>益阳市生态环境局（本级）</w:t>
      </w:r>
    </w:p>
    <w:p>
      <w:pPr>
        <w:jc w:val="center"/>
        <w:rPr>
          <w:rFonts w:ascii="仿宋" w:hAnsi="仿宋" w:eastAsia="仿宋" w:cs="宋体"/>
          <w:sz w:val="44"/>
          <w:szCs w:val="44"/>
        </w:rPr>
      </w:pPr>
      <w:r>
        <w:rPr>
          <w:rFonts w:ascii="仿宋" w:hAnsi="仿宋" w:eastAsia="仿宋" w:cs="方正小标宋_GBK"/>
          <w:sz w:val="44"/>
          <w:szCs w:val="44"/>
        </w:rPr>
        <w:t>201</w:t>
      </w:r>
      <w:r>
        <w:rPr>
          <w:rFonts w:hint="eastAsia" w:ascii="仿宋" w:hAnsi="仿宋" w:eastAsia="仿宋" w:cs="方正小标宋_GBK"/>
          <w:sz w:val="44"/>
          <w:szCs w:val="44"/>
        </w:rPr>
        <w:t>9</w:t>
      </w:r>
      <w:r>
        <w:rPr>
          <w:rFonts w:ascii="仿宋" w:hAnsi="仿宋" w:eastAsia="仿宋" w:cs="方正小标宋_GBK"/>
          <w:sz w:val="44"/>
          <w:szCs w:val="44"/>
        </w:rPr>
        <w:t xml:space="preserve"> </w:t>
      </w:r>
      <w:r>
        <w:rPr>
          <w:rFonts w:hint="eastAsia" w:ascii="仿宋" w:hAnsi="仿宋" w:eastAsia="仿宋" w:cs="宋体"/>
          <w:sz w:val="44"/>
          <w:szCs w:val="44"/>
        </w:rPr>
        <w:t>年度部门决算情况说明</w:t>
      </w:r>
    </w:p>
    <w:p>
      <w:pPr>
        <w:rPr>
          <w:rFonts w:ascii="仿宋" w:hAnsi="仿宋" w:eastAsia="仿宋" w:cs="Times New Roman"/>
          <w:sz w:val="44"/>
          <w:szCs w:val="44"/>
        </w:rPr>
      </w:pPr>
    </w:p>
    <w:p>
      <w:pPr>
        <w:spacing w:line="600" w:lineRule="exact"/>
        <w:ind w:firstLine="643" w:firstLineChars="200"/>
        <w:rPr>
          <w:rFonts w:ascii="仿宋" w:hAnsi="仿宋" w:eastAsia="仿宋" w:cs="Times New Roman"/>
          <w:b/>
          <w:sz w:val="32"/>
          <w:szCs w:val="32"/>
        </w:rPr>
      </w:pPr>
      <w:r>
        <w:rPr>
          <w:rFonts w:hint="eastAsia" w:ascii="仿宋" w:hAnsi="仿宋" w:eastAsia="仿宋" w:cs="黑体"/>
          <w:b/>
          <w:sz w:val="32"/>
          <w:szCs w:val="32"/>
        </w:rPr>
        <w:t>一、关于益阳市生态环境局（本级）</w:t>
      </w:r>
      <w:r>
        <w:rPr>
          <w:rFonts w:ascii="仿宋" w:hAnsi="仿宋" w:eastAsia="仿宋" w:cs="黑体"/>
          <w:b/>
          <w:sz w:val="32"/>
          <w:szCs w:val="32"/>
        </w:rPr>
        <w:t>201</w:t>
      </w:r>
      <w:r>
        <w:rPr>
          <w:rFonts w:hint="eastAsia" w:ascii="仿宋" w:hAnsi="仿宋" w:eastAsia="仿宋" w:cs="黑体"/>
          <w:b/>
          <w:sz w:val="32"/>
          <w:szCs w:val="32"/>
        </w:rPr>
        <w:t>9年度收入支出决算总体情况说明</w:t>
      </w:r>
    </w:p>
    <w:p>
      <w:pPr>
        <w:spacing w:line="600" w:lineRule="exact"/>
        <w:ind w:firstLine="641"/>
        <w:rPr>
          <w:rFonts w:ascii="仿宋" w:hAnsi="仿宋" w:eastAsia="仿宋" w:cs="仿宋"/>
          <w:sz w:val="32"/>
          <w:szCs w:val="32"/>
        </w:rPr>
      </w:pPr>
      <w:r>
        <w:rPr>
          <w:rFonts w:hint="eastAsia" w:ascii="仿宋" w:hAnsi="仿宋" w:eastAsia="仿宋" w:cs="仿宋"/>
          <w:sz w:val="32"/>
          <w:szCs w:val="32"/>
        </w:rPr>
        <w:t>益阳市生态环境局（本级）</w:t>
      </w:r>
      <w:r>
        <w:rPr>
          <w:rFonts w:ascii="仿宋" w:hAnsi="仿宋" w:eastAsia="仿宋" w:cs="仿宋"/>
          <w:sz w:val="32"/>
          <w:szCs w:val="32"/>
        </w:rPr>
        <w:t>20</w:t>
      </w:r>
      <w:r>
        <w:rPr>
          <w:rFonts w:hint="eastAsia" w:ascii="仿宋" w:hAnsi="仿宋" w:eastAsia="仿宋" w:cs="仿宋"/>
          <w:sz w:val="32"/>
          <w:szCs w:val="32"/>
        </w:rPr>
        <w:t>19年收入总计10079.13万元，比上年同期增加5078.03万元，增加101.54</w:t>
      </w:r>
      <w:r>
        <w:rPr>
          <w:rFonts w:ascii="仿宋" w:hAnsi="仿宋" w:eastAsia="仿宋" w:cs="仿宋"/>
          <w:sz w:val="32"/>
          <w:szCs w:val="32"/>
        </w:rPr>
        <w:t>%</w:t>
      </w:r>
      <w:r>
        <w:rPr>
          <w:rFonts w:hint="eastAsia" w:ascii="仿宋" w:hAnsi="仿宋" w:eastAsia="仿宋" w:cs="仿宋"/>
          <w:sz w:val="32"/>
          <w:szCs w:val="32"/>
        </w:rPr>
        <w:t>；支出总计4278.1万元，比上年同期减少2060.5万元，减少32.51</w:t>
      </w:r>
      <w:r>
        <w:rPr>
          <w:rFonts w:ascii="仿宋" w:hAnsi="仿宋" w:eastAsia="仿宋" w:cs="仿宋"/>
          <w:sz w:val="32"/>
          <w:szCs w:val="32"/>
        </w:rPr>
        <w:t>%</w:t>
      </w:r>
      <w:r>
        <w:rPr>
          <w:rFonts w:hint="eastAsia" w:ascii="仿宋" w:hAnsi="仿宋" w:eastAsia="仿宋" w:cs="仿宋"/>
          <w:sz w:val="32"/>
          <w:szCs w:val="32"/>
        </w:rPr>
        <w:t>。主要原因：一是增加职工工资福利，增加工资福利收入和支出；二是国家加大对水、土壤、大气环境污染防治治理的投入，增加环境污染防治专项收入和支出；三是部分项目未完成，</w:t>
      </w:r>
      <w:r>
        <w:rPr>
          <w:rFonts w:hint="eastAsia" w:ascii="仿宋" w:hAnsi="仿宋" w:eastAsia="仿宋"/>
          <w:sz w:val="32"/>
          <w:szCs w:val="32"/>
        </w:rPr>
        <w:t>2019年的项目收入大部分结转到下年。</w:t>
      </w:r>
    </w:p>
    <w:p>
      <w:pPr>
        <w:spacing w:line="600" w:lineRule="exact"/>
        <w:ind w:firstLine="643" w:firstLineChars="200"/>
        <w:rPr>
          <w:rFonts w:ascii="仿宋" w:hAnsi="仿宋" w:eastAsia="仿宋" w:cs="Times New Roman"/>
          <w:b/>
          <w:sz w:val="32"/>
          <w:szCs w:val="32"/>
        </w:rPr>
      </w:pPr>
      <w:r>
        <w:rPr>
          <w:rFonts w:hint="eastAsia" w:ascii="仿宋" w:hAnsi="仿宋" w:eastAsia="仿宋" w:cs="黑体"/>
          <w:b/>
          <w:sz w:val="32"/>
          <w:szCs w:val="32"/>
        </w:rPr>
        <w:t>二、关于益阳市生态环境局（本级）</w:t>
      </w:r>
      <w:r>
        <w:rPr>
          <w:rFonts w:ascii="仿宋" w:hAnsi="仿宋" w:eastAsia="仿宋" w:cs="黑体"/>
          <w:b/>
          <w:sz w:val="32"/>
          <w:szCs w:val="32"/>
        </w:rPr>
        <w:t>201</w:t>
      </w:r>
      <w:r>
        <w:rPr>
          <w:rFonts w:hint="eastAsia" w:ascii="仿宋" w:hAnsi="仿宋" w:eastAsia="仿宋" w:cs="黑体"/>
          <w:b/>
          <w:sz w:val="32"/>
          <w:szCs w:val="32"/>
        </w:rPr>
        <w:t>9年度收入决算情况说明</w:t>
      </w:r>
    </w:p>
    <w:p>
      <w:pPr>
        <w:spacing w:line="560" w:lineRule="exact"/>
        <w:ind w:firstLine="641"/>
        <w:rPr>
          <w:rFonts w:ascii="仿宋" w:hAnsi="仿宋" w:eastAsia="仿宋" w:cs="Times New Roman"/>
          <w:sz w:val="32"/>
          <w:szCs w:val="32"/>
        </w:rPr>
      </w:pPr>
      <w:r>
        <w:rPr>
          <w:rFonts w:ascii="仿宋" w:hAnsi="仿宋" w:eastAsia="仿宋" w:cs="仿宋"/>
          <w:sz w:val="32"/>
          <w:szCs w:val="32"/>
        </w:rPr>
        <w:t>201</w:t>
      </w:r>
      <w:r>
        <w:rPr>
          <w:rFonts w:hint="eastAsia" w:ascii="仿宋" w:hAnsi="仿宋" w:eastAsia="仿宋" w:cs="仿宋"/>
          <w:sz w:val="32"/>
          <w:szCs w:val="32"/>
        </w:rPr>
        <w:t>9年度收入合计10079.13万元，其中：财政拨款收入9988.13万元，占99.1</w:t>
      </w:r>
      <w:r>
        <w:rPr>
          <w:rFonts w:ascii="仿宋" w:hAnsi="仿宋" w:eastAsia="仿宋" w:cs="仿宋"/>
          <w:sz w:val="32"/>
          <w:szCs w:val="32"/>
        </w:rPr>
        <w:t xml:space="preserve"> %</w:t>
      </w:r>
      <w:r>
        <w:rPr>
          <w:rFonts w:hint="eastAsia" w:ascii="仿宋" w:hAnsi="仿宋" w:eastAsia="仿宋" w:cs="仿宋"/>
          <w:sz w:val="32"/>
          <w:szCs w:val="32"/>
        </w:rPr>
        <w:t>；其他收入91万元，占</w:t>
      </w:r>
      <w:r>
        <w:rPr>
          <w:rFonts w:hint="eastAsia" w:ascii="仿宋" w:hAnsi="仿宋" w:eastAsia="仿宋" w:cs="仿宋"/>
          <w:sz w:val="30"/>
          <w:szCs w:val="30"/>
        </w:rPr>
        <w:t>0.9</w:t>
      </w:r>
      <w:r>
        <w:rPr>
          <w:rFonts w:ascii="仿宋" w:hAnsi="仿宋" w:eastAsia="仿宋" w:cs="仿宋"/>
          <w:sz w:val="30"/>
          <w:szCs w:val="30"/>
        </w:rPr>
        <w:t>%</w:t>
      </w:r>
      <w:r>
        <w:rPr>
          <w:rFonts w:hint="eastAsia" w:ascii="仿宋" w:hAnsi="仿宋" w:eastAsia="仿宋" w:cs="仿宋"/>
          <w:sz w:val="32"/>
          <w:szCs w:val="32"/>
        </w:rPr>
        <w:t>。</w:t>
      </w:r>
    </w:p>
    <w:p>
      <w:pPr>
        <w:spacing w:line="600" w:lineRule="exact"/>
        <w:ind w:firstLine="643" w:firstLineChars="200"/>
        <w:rPr>
          <w:rFonts w:ascii="仿宋" w:hAnsi="仿宋" w:eastAsia="仿宋" w:cs="Times New Roman"/>
          <w:b/>
          <w:sz w:val="32"/>
          <w:szCs w:val="32"/>
        </w:rPr>
      </w:pPr>
      <w:r>
        <w:rPr>
          <w:rFonts w:hint="eastAsia" w:ascii="仿宋" w:hAnsi="仿宋" w:eastAsia="仿宋" w:cs="黑体"/>
          <w:b/>
          <w:sz w:val="32"/>
          <w:szCs w:val="32"/>
        </w:rPr>
        <w:t>三、关于益阳市生态环境局（本级）</w:t>
      </w:r>
      <w:r>
        <w:rPr>
          <w:rFonts w:ascii="仿宋" w:hAnsi="仿宋" w:eastAsia="仿宋" w:cs="黑体"/>
          <w:b/>
          <w:sz w:val="32"/>
          <w:szCs w:val="32"/>
        </w:rPr>
        <w:t>201</w:t>
      </w:r>
      <w:r>
        <w:rPr>
          <w:rFonts w:hint="eastAsia" w:ascii="仿宋" w:hAnsi="仿宋" w:eastAsia="仿宋" w:cs="黑体"/>
          <w:b/>
          <w:sz w:val="32"/>
          <w:szCs w:val="32"/>
        </w:rPr>
        <w:t>9</w:t>
      </w:r>
      <w:r>
        <w:rPr>
          <w:rFonts w:ascii="仿宋" w:hAnsi="仿宋" w:eastAsia="仿宋" w:cs="黑体"/>
          <w:b/>
          <w:sz w:val="32"/>
          <w:szCs w:val="32"/>
        </w:rPr>
        <w:t xml:space="preserve"> </w:t>
      </w:r>
      <w:r>
        <w:rPr>
          <w:rFonts w:hint="eastAsia" w:ascii="仿宋" w:hAnsi="仿宋" w:eastAsia="仿宋" w:cs="黑体"/>
          <w:b/>
          <w:sz w:val="32"/>
          <w:szCs w:val="32"/>
        </w:rPr>
        <w:t>年度支出决算情况说明</w:t>
      </w:r>
    </w:p>
    <w:p>
      <w:pPr>
        <w:spacing w:line="600" w:lineRule="exact"/>
        <w:ind w:firstLine="641"/>
        <w:rPr>
          <w:rFonts w:ascii="仿宋" w:hAnsi="仿宋" w:eastAsia="仿宋" w:cs="Times New Roman"/>
          <w:sz w:val="32"/>
          <w:szCs w:val="32"/>
        </w:rPr>
      </w:pPr>
      <w:r>
        <w:rPr>
          <w:rFonts w:ascii="仿宋" w:hAnsi="仿宋" w:eastAsia="仿宋" w:cs="仿宋"/>
          <w:sz w:val="32"/>
          <w:szCs w:val="32"/>
        </w:rPr>
        <w:t>201</w:t>
      </w:r>
      <w:r>
        <w:rPr>
          <w:rFonts w:hint="eastAsia" w:ascii="仿宋" w:hAnsi="仿宋" w:eastAsia="仿宋" w:cs="仿宋"/>
          <w:sz w:val="32"/>
          <w:szCs w:val="32"/>
        </w:rPr>
        <w:t>9年度支出合计4278.1万元，其中：基本支出2764.23万元，占64.61</w:t>
      </w:r>
      <w:r>
        <w:rPr>
          <w:rFonts w:ascii="仿宋" w:hAnsi="仿宋" w:eastAsia="仿宋" w:cs="仿宋"/>
          <w:sz w:val="32"/>
          <w:szCs w:val="32"/>
        </w:rPr>
        <w:t xml:space="preserve"> %</w:t>
      </w:r>
      <w:r>
        <w:rPr>
          <w:rFonts w:hint="eastAsia" w:ascii="仿宋" w:hAnsi="仿宋" w:eastAsia="仿宋" w:cs="仿宋"/>
          <w:sz w:val="32"/>
          <w:szCs w:val="32"/>
        </w:rPr>
        <w:t>；项目支出1513.87万元，占35.39</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 xml:space="preserve"> </w:t>
      </w:r>
    </w:p>
    <w:p>
      <w:pPr>
        <w:spacing w:line="600" w:lineRule="exact"/>
        <w:ind w:firstLine="640"/>
        <w:rPr>
          <w:rFonts w:ascii="仿宋" w:hAnsi="仿宋" w:eastAsia="仿宋" w:cs="Times New Roman"/>
          <w:b/>
          <w:sz w:val="32"/>
          <w:szCs w:val="32"/>
        </w:rPr>
      </w:pPr>
      <w:r>
        <w:rPr>
          <w:rFonts w:ascii="仿宋" w:hAnsi="仿宋" w:eastAsia="仿宋" w:cs="黑体"/>
          <w:b/>
          <w:sz w:val="32"/>
          <w:szCs w:val="32"/>
        </w:rPr>
        <w:t xml:space="preserve"> </w:t>
      </w:r>
      <w:r>
        <w:rPr>
          <w:rFonts w:hint="eastAsia" w:ascii="仿宋" w:hAnsi="仿宋" w:eastAsia="仿宋" w:cs="黑体"/>
          <w:b/>
          <w:sz w:val="32"/>
          <w:szCs w:val="32"/>
        </w:rPr>
        <w:t>四、关于益阳市生态环境局（本级）</w:t>
      </w:r>
      <w:r>
        <w:rPr>
          <w:rFonts w:ascii="仿宋" w:hAnsi="仿宋" w:eastAsia="仿宋" w:cs="黑体"/>
          <w:b/>
          <w:sz w:val="32"/>
          <w:szCs w:val="32"/>
        </w:rPr>
        <w:t>201</w:t>
      </w:r>
      <w:r>
        <w:rPr>
          <w:rFonts w:hint="eastAsia" w:ascii="仿宋" w:hAnsi="仿宋" w:eastAsia="仿宋" w:cs="黑体"/>
          <w:b/>
          <w:sz w:val="32"/>
          <w:szCs w:val="32"/>
        </w:rPr>
        <w:t>9年度财政拨款收入支出决算总体情况说明</w:t>
      </w:r>
    </w:p>
    <w:p>
      <w:pPr>
        <w:spacing w:line="560" w:lineRule="exact"/>
        <w:ind w:firstLine="641"/>
        <w:rPr>
          <w:rFonts w:ascii="仿宋" w:hAnsi="仿宋" w:eastAsia="仿宋" w:cs="仿宋"/>
          <w:sz w:val="32"/>
          <w:szCs w:val="32"/>
        </w:rPr>
      </w:pPr>
      <w:r>
        <w:rPr>
          <w:rFonts w:ascii="仿宋" w:hAnsi="仿宋" w:eastAsia="仿宋" w:cs="仿宋"/>
          <w:sz w:val="32"/>
          <w:szCs w:val="32"/>
        </w:rPr>
        <w:t xml:space="preserve"> 201</w:t>
      </w:r>
      <w:r>
        <w:rPr>
          <w:rFonts w:hint="eastAsia" w:ascii="仿宋" w:hAnsi="仿宋" w:eastAsia="仿宋" w:cs="仿宋"/>
          <w:sz w:val="32"/>
          <w:szCs w:val="32"/>
        </w:rPr>
        <w:t>9年度财政拨款收入总计9988.13万元，比上年同期增加5403.33万元，增长117.85</w:t>
      </w:r>
      <w:r>
        <w:rPr>
          <w:rFonts w:ascii="仿宋" w:hAnsi="仿宋" w:eastAsia="仿宋" w:cs="仿宋"/>
          <w:sz w:val="32"/>
          <w:szCs w:val="32"/>
        </w:rPr>
        <w:t>%</w:t>
      </w:r>
      <w:r>
        <w:rPr>
          <w:rFonts w:hint="eastAsia" w:ascii="仿宋" w:hAnsi="仿宋" w:eastAsia="仿宋" w:cs="仿宋"/>
          <w:sz w:val="32"/>
          <w:szCs w:val="32"/>
        </w:rPr>
        <w:t>；财政拨款支出总计4178.07万元，比上年同期减少1543.83万元，减少36.95</w:t>
      </w:r>
      <w:r>
        <w:rPr>
          <w:rFonts w:ascii="仿宋" w:hAnsi="仿宋" w:eastAsia="仿宋" w:cs="仿宋"/>
          <w:sz w:val="32"/>
          <w:szCs w:val="32"/>
        </w:rPr>
        <w:t>%</w:t>
      </w:r>
      <w:r>
        <w:rPr>
          <w:rFonts w:hint="eastAsia" w:ascii="仿宋" w:hAnsi="仿宋" w:eastAsia="仿宋" w:cs="仿宋"/>
          <w:sz w:val="32"/>
          <w:szCs w:val="32"/>
        </w:rPr>
        <w:t>。主要原因：一是增加职工工资福利，增加工资福利收入和支出；二是国家加大对水、土壤、大气环境污染防治治理的投入，增加环境污染防治专项收入和支出；三是部分项目未完成，</w:t>
      </w:r>
      <w:r>
        <w:rPr>
          <w:rFonts w:hint="eastAsia" w:ascii="仿宋" w:hAnsi="仿宋" w:eastAsia="仿宋"/>
          <w:sz w:val="32"/>
          <w:szCs w:val="32"/>
        </w:rPr>
        <w:t>2019年的项目收入大部分结转到下年。</w:t>
      </w:r>
    </w:p>
    <w:p>
      <w:pPr>
        <w:spacing w:line="600" w:lineRule="exact"/>
        <w:ind w:firstLine="640"/>
        <w:rPr>
          <w:rFonts w:ascii="仿宋" w:hAnsi="仿宋" w:eastAsia="仿宋" w:cs="Times New Roman"/>
          <w:b/>
          <w:sz w:val="32"/>
          <w:szCs w:val="32"/>
        </w:rPr>
      </w:pPr>
      <w:r>
        <w:rPr>
          <w:rFonts w:hint="eastAsia" w:ascii="仿宋" w:hAnsi="仿宋" w:eastAsia="仿宋" w:cs="黑体"/>
          <w:b/>
          <w:sz w:val="32"/>
          <w:szCs w:val="32"/>
        </w:rPr>
        <w:t>五、关于益阳市生态环境局（本级）</w:t>
      </w:r>
      <w:r>
        <w:rPr>
          <w:rFonts w:ascii="仿宋" w:hAnsi="仿宋" w:eastAsia="仿宋" w:cs="黑体"/>
          <w:b/>
          <w:sz w:val="32"/>
          <w:szCs w:val="32"/>
        </w:rPr>
        <w:t>201</w:t>
      </w:r>
      <w:r>
        <w:rPr>
          <w:rFonts w:hint="eastAsia" w:ascii="仿宋" w:hAnsi="仿宋" w:eastAsia="仿宋" w:cs="黑体"/>
          <w:b/>
          <w:sz w:val="32"/>
          <w:szCs w:val="32"/>
        </w:rPr>
        <w:t>9年度一般公共预算财政拨款收入支出决算情况说明</w:t>
      </w:r>
    </w:p>
    <w:p>
      <w:pPr>
        <w:spacing w:line="600" w:lineRule="exact"/>
        <w:ind w:firstLine="320"/>
        <w:rPr>
          <w:rFonts w:ascii="仿宋" w:hAnsi="仿宋" w:eastAsia="仿宋" w:cs="Times New Roman"/>
          <w:sz w:val="32"/>
          <w:szCs w:val="32"/>
        </w:rPr>
      </w:pPr>
      <w:r>
        <w:rPr>
          <w:rFonts w:hint="eastAsia" w:ascii="仿宋" w:hAnsi="仿宋" w:eastAsia="仿宋" w:cs="楷体"/>
          <w:sz w:val="32"/>
          <w:szCs w:val="32"/>
        </w:rPr>
        <w:t>（一）一般公共预算财政拨款收入支出决算总体情况。</w:t>
      </w:r>
    </w:p>
    <w:p>
      <w:pPr>
        <w:spacing w:line="600" w:lineRule="exact"/>
        <w:ind w:firstLine="640"/>
        <w:rPr>
          <w:rFonts w:ascii="仿宋" w:hAnsi="仿宋" w:eastAsia="仿宋" w:cs="仿宋"/>
          <w:sz w:val="32"/>
          <w:szCs w:val="32"/>
        </w:rPr>
      </w:pPr>
      <w:r>
        <w:rPr>
          <w:rFonts w:ascii="仿宋" w:hAnsi="仿宋" w:eastAsia="仿宋" w:cs="仿宋"/>
          <w:sz w:val="32"/>
          <w:szCs w:val="32"/>
        </w:rPr>
        <w:t>201</w:t>
      </w:r>
      <w:r>
        <w:rPr>
          <w:rFonts w:hint="eastAsia" w:ascii="仿宋" w:hAnsi="仿宋" w:eastAsia="仿宋" w:cs="仿宋"/>
          <w:sz w:val="32"/>
          <w:szCs w:val="32"/>
        </w:rPr>
        <w:t>9年度一般公共预算财政拨款收入总计9988.13万元，比上年同期增加5403.33万元，增长117.85</w:t>
      </w:r>
      <w:r>
        <w:rPr>
          <w:rFonts w:ascii="仿宋" w:hAnsi="仿宋" w:eastAsia="仿宋" w:cs="仿宋"/>
          <w:sz w:val="32"/>
          <w:szCs w:val="32"/>
        </w:rPr>
        <w:t>%</w:t>
      </w:r>
      <w:r>
        <w:rPr>
          <w:rFonts w:hint="eastAsia" w:ascii="仿宋" w:hAnsi="仿宋" w:eastAsia="仿宋" w:cs="仿宋"/>
          <w:sz w:val="32"/>
          <w:szCs w:val="32"/>
        </w:rPr>
        <w:t>；一般公共预算财政拨款支出总计4178.07万元，比上年同期减少1543.83万元，减少36.95</w:t>
      </w:r>
      <w:r>
        <w:rPr>
          <w:rFonts w:ascii="仿宋" w:hAnsi="仿宋" w:eastAsia="仿宋" w:cs="仿宋"/>
          <w:sz w:val="32"/>
          <w:szCs w:val="32"/>
        </w:rPr>
        <w:t>%</w:t>
      </w:r>
      <w:r>
        <w:rPr>
          <w:rFonts w:hint="eastAsia" w:ascii="仿宋" w:hAnsi="仿宋" w:eastAsia="仿宋" w:cs="仿宋"/>
          <w:sz w:val="32"/>
          <w:szCs w:val="32"/>
        </w:rPr>
        <w:t>。主要原因：一是增加职工工资福利，增加工资福利收入和支出；二是国家加大对水、土壤、大气环境污染防治治理的投入，增加环境污染防治专项收入和支出；三是部分项目未完成，</w:t>
      </w:r>
      <w:r>
        <w:rPr>
          <w:rFonts w:hint="eastAsia" w:ascii="仿宋" w:hAnsi="仿宋" w:eastAsia="仿宋"/>
          <w:sz w:val="32"/>
          <w:szCs w:val="32"/>
        </w:rPr>
        <w:t>2019年的项目收入大部分结转到2020年。</w:t>
      </w:r>
    </w:p>
    <w:p>
      <w:pPr>
        <w:spacing w:line="600" w:lineRule="exact"/>
        <w:ind w:firstLine="320"/>
        <w:rPr>
          <w:rFonts w:ascii="仿宋" w:hAnsi="仿宋" w:eastAsia="仿宋" w:cs="Times New Roman"/>
          <w:sz w:val="32"/>
          <w:szCs w:val="32"/>
        </w:rPr>
      </w:pPr>
      <w:r>
        <w:rPr>
          <w:rFonts w:hint="eastAsia" w:ascii="仿宋" w:hAnsi="仿宋" w:eastAsia="仿宋" w:cs="楷体"/>
          <w:sz w:val="32"/>
          <w:szCs w:val="32"/>
        </w:rPr>
        <w:t>（二）一般公共预算财政拨款支出决算构成情况。</w:t>
      </w:r>
    </w:p>
    <w:p>
      <w:pPr>
        <w:spacing w:line="600" w:lineRule="exact"/>
        <w:rPr>
          <w:rFonts w:ascii="仿宋" w:hAnsi="仿宋" w:eastAsia="仿宋" w:cs="宋体"/>
          <w:sz w:val="32"/>
          <w:szCs w:val="32"/>
        </w:rPr>
      </w:pPr>
      <w:r>
        <w:rPr>
          <w:rFonts w:ascii="仿宋" w:hAnsi="仿宋" w:eastAsia="仿宋" w:cs="仿宋"/>
          <w:sz w:val="32"/>
          <w:szCs w:val="32"/>
        </w:rPr>
        <w:t xml:space="preserve">  </w:t>
      </w:r>
      <w:r>
        <w:rPr>
          <w:rFonts w:ascii="仿宋" w:hAnsi="仿宋" w:eastAsia="仿宋" w:cs="宋体"/>
          <w:sz w:val="32"/>
          <w:szCs w:val="32"/>
        </w:rPr>
        <w:t xml:space="preserve"> </w:t>
      </w:r>
      <w:r>
        <w:rPr>
          <w:rFonts w:hint="eastAsia" w:ascii="仿宋" w:hAnsi="仿宋" w:eastAsia="仿宋" w:cs="宋体"/>
          <w:sz w:val="32"/>
          <w:szCs w:val="32"/>
        </w:rPr>
        <w:t>2019年度财政拨款支出</w:t>
      </w:r>
      <w:r>
        <w:rPr>
          <w:rFonts w:hint="eastAsia" w:ascii="仿宋" w:hAnsi="仿宋" w:eastAsia="仿宋" w:cs="仿宋"/>
          <w:sz w:val="32"/>
          <w:szCs w:val="32"/>
        </w:rPr>
        <w:t>4178.07</w:t>
      </w:r>
      <w:r>
        <w:rPr>
          <w:rFonts w:hint="eastAsia" w:ascii="仿宋" w:hAnsi="仿宋" w:eastAsia="仿宋" w:cs="宋体"/>
          <w:sz w:val="32"/>
          <w:szCs w:val="32"/>
        </w:rPr>
        <w:t>万元，主要用于以下方面：一般公共服务支出33.05万元，占0.79</w:t>
      </w:r>
      <w:r>
        <w:rPr>
          <w:rFonts w:ascii="仿宋" w:hAnsi="仿宋" w:eastAsia="仿宋" w:cs="宋体"/>
          <w:sz w:val="32"/>
          <w:szCs w:val="32"/>
        </w:rPr>
        <w:t>%</w:t>
      </w:r>
      <w:r>
        <w:rPr>
          <w:rFonts w:hint="eastAsia" w:ascii="仿宋" w:hAnsi="仿宋" w:eastAsia="仿宋" w:cs="宋体"/>
          <w:sz w:val="32"/>
          <w:szCs w:val="32"/>
        </w:rPr>
        <w:t>；教育支出23.88万元，占0.57%；社会保障和就业支出7.78万元，占0.19</w:t>
      </w:r>
      <w:r>
        <w:rPr>
          <w:rFonts w:ascii="仿宋" w:hAnsi="仿宋" w:eastAsia="仿宋" w:cs="宋体"/>
          <w:sz w:val="32"/>
          <w:szCs w:val="32"/>
        </w:rPr>
        <w:t xml:space="preserve"> %</w:t>
      </w:r>
      <w:r>
        <w:rPr>
          <w:rFonts w:hint="eastAsia" w:ascii="仿宋" w:hAnsi="仿宋" w:eastAsia="仿宋" w:cs="宋体"/>
          <w:sz w:val="32"/>
          <w:szCs w:val="32"/>
        </w:rPr>
        <w:t>；卫生健康支出370.13万元，占8.86</w:t>
      </w:r>
      <w:r>
        <w:rPr>
          <w:rFonts w:ascii="仿宋" w:hAnsi="仿宋" w:eastAsia="仿宋" w:cs="宋体"/>
          <w:sz w:val="32"/>
          <w:szCs w:val="32"/>
        </w:rPr>
        <w:t>%</w:t>
      </w:r>
      <w:r>
        <w:rPr>
          <w:rFonts w:hint="eastAsia" w:ascii="仿宋" w:hAnsi="仿宋" w:eastAsia="仿宋" w:cs="宋体"/>
          <w:sz w:val="32"/>
          <w:szCs w:val="32"/>
        </w:rPr>
        <w:t>；节能环保支出3624.44万元，占86.75</w:t>
      </w:r>
      <w:r>
        <w:rPr>
          <w:rFonts w:ascii="仿宋" w:hAnsi="仿宋" w:eastAsia="仿宋" w:cs="宋体"/>
          <w:sz w:val="32"/>
          <w:szCs w:val="32"/>
        </w:rPr>
        <w:t>%</w:t>
      </w:r>
      <w:r>
        <w:rPr>
          <w:rFonts w:hint="eastAsia" w:ascii="仿宋" w:hAnsi="仿宋" w:eastAsia="仿宋" w:cs="宋体"/>
          <w:sz w:val="32"/>
          <w:szCs w:val="32"/>
        </w:rPr>
        <w:t>；商业服务业等支出0.48万元，占0.01</w:t>
      </w:r>
      <w:r>
        <w:rPr>
          <w:rFonts w:ascii="仿宋" w:hAnsi="仿宋" w:eastAsia="仿宋" w:cs="宋体"/>
          <w:sz w:val="32"/>
          <w:szCs w:val="32"/>
        </w:rPr>
        <w:t>%</w:t>
      </w:r>
      <w:r>
        <w:rPr>
          <w:rFonts w:hint="eastAsia" w:ascii="仿宋" w:hAnsi="仿宋" w:eastAsia="仿宋" w:cs="宋体"/>
          <w:sz w:val="32"/>
          <w:szCs w:val="32"/>
        </w:rPr>
        <w:t>；住房保障支出118.31万元，占2.83</w:t>
      </w:r>
      <w:r>
        <w:rPr>
          <w:rFonts w:ascii="仿宋" w:hAnsi="仿宋" w:eastAsia="仿宋" w:cs="宋体"/>
          <w:sz w:val="32"/>
          <w:szCs w:val="32"/>
        </w:rPr>
        <w:t>%</w:t>
      </w:r>
      <w:r>
        <w:rPr>
          <w:rFonts w:hint="eastAsia" w:ascii="仿宋" w:hAnsi="仿宋" w:eastAsia="仿宋" w:cs="宋体"/>
          <w:sz w:val="32"/>
          <w:szCs w:val="32"/>
        </w:rPr>
        <w:t>。</w:t>
      </w:r>
    </w:p>
    <w:p>
      <w:pPr>
        <w:spacing w:line="600" w:lineRule="exact"/>
        <w:ind w:firstLine="320" w:firstLineChars="100"/>
        <w:rPr>
          <w:rFonts w:ascii="仿宋" w:hAnsi="仿宋" w:eastAsia="仿宋" w:cs="Times New Roman"/>
          <w:sz w:val="32"/>
          <w:szCs w:val="32"/>
        </w:rPr>
      </w:pPr>
      <w:r>
        <w:rPr>
          <w:rFonts w:hint="eastAsia" w:ascii="仿宋" w:hAnsi="仿宋" w:eastAsia="仿宋" w:cs="楷体"/>
          <w:sz w:val="32"/>
          <w:szCs w:val="32"/>
        </w:rPr>
        <w:t>（三）一般公共预算财政拨款支出决算具体情况。</w:t>
      </w:r>
    </w:p>
    <w:p>
      <w:pPr>
        <w:spacing w:line="600" w:lineRule="exact"/>
        <w:ind w:firstLine="480" w:firstLineChars="150"/>
        <w:outlineLvl w:val="1"/>
        <w:rPr>
          <w:rFonts w:ascii="仿宋" w:hAnsi="仿宋" w:eastAsia="仿宋" w:cs="仿宋"/>
          <w:sz w:val="32"/>
          <w:szCs w:val="32"/>
        </w:rPr>
      </w:pPr>
      <w:r>
        <w:rPr>
          <w:rFonts w:hint="eastAsia" w:ascii="仿宋" w:hAnsi="仿宋" w:eastAsia="仿宋" w:cs="仿宋"/>
          <w:sz w:val="32"/>
          <w:szCs w:val="32"/>
        </w:rPr>
        <w:t>2019年度财政拨款支出年初预算为2734.85万元，支出决算为4178.07万元,完成年初预算的152.77%。其中：</w:t>
      </w:r>
    </w:p>
    <w:p>
      <w:pPr>
        <w:spacing w:line="560" w:lineRule="exact"/>
        <w:ind w:firstLine="480" w:firstLineChars="150"/>
        <w:rPr>
          <w:rFonts w:ascii="仿宋" w:hAnsi="仿宋" w:eastAsia="仿宋" w:cs="宋体"/>
          <w:sz w:val="32"/>
          <w:szCs w:val="32"/>
        </w:rPr>
      </w:pPr>
      <w:r>
        <w:rPr>
          <w:rFonts w:ascii="仿宋" w:hAnsi="仿宋" w:eastAsia="仿宋" w:cs="仿宋"/>
          <w:sz w:val="32"/>
          <w:szCs w:val="32"/>
        </w:rPr>
        <w:t>1</w:t>
      </w:r>
      <w:r>
        <w:rPr>
          <w:rFonts w:hint="eastAsia" w:ascii="仿宋" w:hAnsi="仿宋" w:eastAsia="仿宋" w:cs="仿宋"/>
          <w:sz w:val="32"/>
          <w:szCs w:val="32"/>
        </w:rPr>
        <w:t>．</w:t>
      </w:r>
      <w:r>
        <w:rPr>
          <w:rFonts w:hint="eastAsia" w:ascii="仿宋" w:hAnsi="仿宋" w:eastAsia="仿宋" w:cs="宋体"/>
          <w:sz w:val="32"/>
          <w:szCs w:val="32"/>
        </w:rPr>
        <w:t>一般公共服务支出</w:t>
      </w:r>
      <w:r>
        <w:rPr>
          <w:rFonts w:hint="eastAsia" w:ascii="仿宋" w:hAnsi="仿宋" w:eastAsia="仿宋" w:cs="仿宋"/>
          <w:sz w:val="32"/>
          <w:szCs w:val="32"/>
        </w:rPr>
        <w:t>财政拨款支出年初预算为0万元，支出决算为33.05万元，其中</w:t>
      </w:r>
      <w:r>
        <w:rPr>
          <w:rFonts w:hint="eastAsia" w:ascii="仿宋" w:hAnsi="仿宋" w:eastAsia="仿宋" w:cs="宋体"/>
          <w:sz w:val="32"/>
          <w:szCs w:val="32"/>
        </w:rPr>
        <w:t>30万元</w:t>
      </w:r>
      <w:r>
        <w:rPr>
          <w:rFonts w:hint="eastAsia" w:ascii="仿宋" w:hAnsi="仿宋" w:eastAsia="仿宋" w:cs="仿宋"/>
          <w:sz w:val="32"/>
          <w:szCs w:val="32"/>
        </w:rPr>
        <w:t>主要用于益阳市环境保护局</w:t>
      </w:r>
      <w:r>
        <w:rPr>
          <w:rFonts w:hint="eastAsia" w:ascii="仿宋" w:hAnsi="仿宋" w:eastAsia="仿宋" w:cs="宋体"/>
          <w:sz w:val="32"/>
          <w:szCs w:val="32"/>
        </w:rPr>
        <w:t>市直责任招商单位</w:t>
      </w:r>
      <w:r>
        <w:rPr>
          <w:rFonts w:ascii="仿宋" w:hAnsi="仿宋" w:eastAsia="仿宋"/>
          <w:sz w:val="32"/>
          <w:szCs w:val="32"/>
        </w:rPr>
        <w:t>201</w:t>
      </w:r>
      <w:r>
        <w:rPr>
          <w:rFonts w:hint="eastAsia" w:ascii="仿宋" w:hAnsi="仿宋" w:eastAsia="仿宋"/>
          <w:sz w:val="32"/>
          <w:szCs w:val="32"/>
        </w:rPr>
        <w:t>9</w:t>
      </w:r>
      <w:r>
        <w:rPr>
          <w:rFonts w:hint="eastAsia" w:ascii="仿宋" w:hAnsi="仿宋" w:eastAsia="仿宋" w:cs="宋体"/>
          <w:sz w:val="32"/>
          <w:szCs w:val="32"/>
        </w:rPr>
        <w:t>年招商引资专项经费及2018年招商引资先进奖励，2.4万元主要用于引进高层次人才生活补助，0.65万元主要用于2018年省绩效考核奖金。</w:t>
      </w:r>
    </w:p>
    <w:p>
      <w:pPr>
        <w:spacing w:line="600" w:lineRule="exact"/>
        <w:ind w:firstLine="480" w:firstLineChars="150"/>
        <w:outlineLvl w:val="1"/>
        <w:rPr>
          <w:rFonts w:ascii="仿宋" w:hAnsi="仿宋" w:eastAsia="仿宋" w:cs="Times New Roman"/>
          <w:sz w:val="32"/>
          <w:szCs w:val="32"/>
        </w:rPr>
      </w:pPr>
      <w:r>
        <w:rPr>
          <w:rFonts w:hint="eastAsia" w:ascii="仿宋" w:hAnsi="仿宋" w:eastAsia="仿宋" w:cs="Times New Roman"/>
          <w:sz w:val="32"/>
          <w:szCs w:val="32"/>
        </w:rPr>
        <w:t>2.教育支出财政拨款支出年初预算为0万元，支出决算为23.88万元，主要用于基层党组织活动经费。</w:t>
      </w:r>
    </w:p>
    <w:p>
      <w:pPr>
        <w:spacing w:line="600" w:lineRule="exact"/>
        <w:ind w:firstLine="480" w:firstLineChars="150"/>
        <w:outlineLvl w:val="1"/>
        <w:rPr>
          <w:rFonts w:ascii="仿宋" w:hAnsi="仿宋" w:eastAsia="仿宋" w:cs="宋体"/>
          <w:kern w:val="0"/>
          <w:sz w:val="18"/>
          <w:szCs w:val="18"/>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宋体"/>
          <w:sz w:val="32"/>
          <w:szCs w:val="32"/>
        </w:rPr>
        <w:t xml:space="preserve"> 社会保障和就业支出</w:t>
      </w:r>
      <w:r>
        <w:rPr>
          <w:rFonts w:hint="eastAsia" w:ascii="仿宋" w:hAnsi="仿宋" w:eastAsia="仿宋" w:cs="仿宋"/>
          <w:sz w:val="32"/>
          <w:szCs w:val="32"/>
        </w:rPr>
        <w:t>财政拨款支出年初预算为0万元，支出决算为7.78万元，主要用于离退休人员2018年度绩效评估奖金。</w:t>
      </w:r>
    </w:p>
    <w:p>
      <w:pPr>
        <w:spacing w:line="600" w:lineRule="exact"/>
        <w:ind w:firstLine="480" w:firstLineChars="150"/>
        <w:rPr>
          <w:rFonts w:ascii="仿宋" w:hAnsi="仿宋" w:eastAsia="仿宋" w:cs="Times New Roman"/>
          <w:sz w:val="32"/>
          <w:szCs w:val="32"/>
        </w:rPr>
      </w:pPr>
      <w:r>
        <w:rPr>
          <w:rFonts w:hint="eastAsia" w:ascii="仿宋" w:hAnsi="仿宋" w:eastAsia="仿宋" w:cs="仿宋"/>
          <w:sz w:val="32"/>
          <w:szCs w:val="32"/>
        </w:rPr>
        <w:t>3</w:t>
      </w:r>
      <w:r>
        <w:rPr>
          <w:rFonts w:ascii="仿宋" w:hAnsi="仿宋" w:eastAsia="仿宋" w:cs="仿宋"/>
          <w:sz w:val="32"/>
          <w:szCs w:val="32"/>
        </w:rPr>
        <w:t>.</w:t>
      </w:r>
      <w:r>
        <w:rPr>
          <w:rFonts w:ascii="仿宋" w:hAnsi="仿宋" w:eastAsia="仿宋"/>
          <w:sz w:val="32"/>
          <w:szCs w:val="32"/>
        </w:rPr>
        <w:t xml:space="preserve"> </w:t>
      </w:r>
      <w:r>
        <w:rPr>
          <w:rFonts w:hint="eastAsia" w:ascii="仿宋" w:hAnsi="仿宋" w:eastAsia="仿宋" w:cs="宋体"/>
          <w:sz w:val="32"/>
          <w:szCs w:val="32"/>
        </w:rPr>
        <w:t>卫生健康支出</w:t>
      </w:r>
      <w:r>
        <w:rPr>
          <w:rFonts w:hint="eastAsia" w:ascii="仿宋" w:hAnsi="仿宋" w:eastAsia="仿宋" w:cs="仿宋"/>
          <w:sz w:val="32"/>
          <w:szCs w:val="32"/>
        </w:rPr>
        <w:t>财政拨款支出年初预算为87.84万元，支出决算为</w:t>
      </w:r>
      <w:r>
        <w:rPr>
          <w:rFonts w:hint="eastAsia" w:ascii="仿宋" w:hAnsi="仿宋" w:eastAsia="仿宋" w:cs="宋体"/>
          <w:sz w:val="32"/>
          <w:szCs w:val="32"/>
        </w:rPr>
        <w:t>370.13</w:t>
      </w:r>
      <w:r>
        <w:rPr>
          <w:rFonts w:hint="eastAsia" w:ascii="仿宋" w:hAnsi="仿宋" w:eastAsia="仿宋" w:cs="仿宋"/>
          <w:sz w:val="32"/>
          <w:szCs w:val="32"/>
        </w:rPr>
        <w:t>万元，主要用于缴纳职工医疗保险金。</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ascii="仿宋" w:hAnsi="仿宋" w:eastAsia="仿宋"/>
          <w:sz w:val="32"/>
          <w:szCs w:val="32"/>
        </w:rPr>
        <w:t xml:space="preserve">  </w:t>
      </w:r>
      <w:r>
        <w:rPr>
          <w:rFonts w:hint="eastAsia" w:ascii="仿宋" w:hAnsi="仿宋" w:eastAsia="仿宋" w:cs="宋体"/>
          <w:sz w:val="32"/>
          <w:szCs w:val="32"/>
        </w:rPr>
        <w:t>节能环保支出</w:t>
      </w:r>
      <w:r>
        <w:rPr>
          <w:rFonts w:hint="eastAsia" w:ascii="仿宋" w:hAnsi="仿宋" w:eastAsia="仿宋" w:cs="仿宋"/>
          <w:sz w:val="32"/>
          <w:szCs w:val="32"/>
        </w:rPr>
        <w:t>财政拨款支出年初预算为2528.7万元，支出决算为</w:t>
      </w:r>
      <w:r>
        <w:rPr>
          <w:rFonts w:hint="eastAsia" w:ascii="仿宋" w:hAnsi="仿宋" w:eastAsia="仿宋" w:cs="宋体"/>
          <w:sz w:val="32"/>
          <w:szCs w:val="32"/>
        </w:rPr>
        <w:t>3624.44万元，其中：行政运行</w:t>
      </w:r>
      <w:r>
        <w:rPr>
          <w:rFonts w:hint="eastAsia" w:ascii="仿宋" w:hAnsi="仿宋" w:eastAsia="仿宋" w:cs="仿宋"/>
          <w:sz w:val="32"/>
          <w:szCs w:val="32"/>
        </w:rPr>
        <w:t>财政拨款支出2150.53</w:t>
      </w:r>
      <w:r>
        <w:rPr>
          <w:rFonts w:hint="eastAsia" w:ascii="仿宋" w:hAnsi="仿宋" w:eastAsia="仿宋" w:cs="宋体"/>
          <w:sz w:val="32"/>
          <w:szCs w:val="32"/>
        </w:rPr>
        <w:t>万元，</w:t>
      </w:r>
      <w:r>
        <w:rPr>
          <w:rFonts w:hint="eastAsia" w:ascii="仿宋" w:hAnsi="仿宋" w:eastAsia="仿宋" w:cs="仿宋"/>
          <w:sz w:val="32"/>
          <w:szCs w:val="32"/>
        </w:rPr>
        <w:t>主要用于职工工资福利支出和机关运行费用；一般行政管理事物财政拨款支出21万元，主要用于二（三）水厂饮用水水源地保护区隔离防护设施建设、创文明卫生城市专项工作经费；生态</w:t>
      </w:r>
      <w:r>
        <w:rPr>
          <w:rFonts w:hint="eastAsia" w:ascii="仿宋" w:hAnsi="仿宋" w:eastAsia="仿宋" w:cs="宋体"/>
          <w:sz w:val="32"/>
          <w:szCs w:val="32"/>
        </w:rPr>
        <w:t>环境保护宣传</w:t>
      </w:r>
      <w:r>
        <w:rPr>
          <w:rFonts w:hint="eastAsia" w:ascii="仿宋" w:hAnsi="仿宋" w:eastAsia="仿宋" w:cs="仿宋"/>
          <w:sz w:val="32"/>
          <w:szCs w:val="32"/>
        </w:rPr>
        <w:t>财政拨款支出71万元，主要用于全市环境宣教能力建设；</w:t>
      </w:r>
      <w:r>
        <w:rPr>
          <w:rFonts w:hint="eastAsia" w:ascii="仿宋" w:hAnsi="仿宋" w:eastAsia="仿宋" w:cs="宋体"/>
          <w:sz w:val="32"/>
          <w:szCs w:val="32"/>
        </w:rPr>
        <w:t>其他环境保护管理事务支出</w:t>
      </w:r>
      <w:r>
        <w:rPr>
          <w:rFonts w:hint="eastAsia" w:ascii="仿宋" w:hAnsi="仿宋" w:eastAsia="仿宋" w:cs="仿宋"/>
          <w:sz w:val="32"/>
          <w:szCs w:val="32"/>
        </w:rPr>
        <w:t>财政拨款支出916.3万元，</w:t>
      </w:r>
      <w:r>
        <w:rPr>
          <w:rFonts w:hint="eastAsia" w:ascii="仿宋" w:hAnsi="仿宋" w:eastAsia="仿宋" w:cs="宋体"/>
          <w:sz w:val="32"/>
          <w:szCs w:val="32"/>
        </w:rPr>
        <w:t>主要用于大通湖水环境治理专项、环保督查专项、生态环境保护委员会工作经费专项、环境保护宣传专项、污染防治（综合）专项、第二次全国污染源普查专项、创文明卫生城市工作经费、网格化空气质量监控微型站建设专项、益阳市长江经济带战略环评“三线一单”编制项目、建设项目环评审查与监督等项目支出；环境监测与监察支出45.5万元，主要用于环保督查专项、建设项目环评审查与监督等项目支出；</w:t>
      </w:r>
      <w:r>
        <w:rPr>
          <w:rFonts w:hint="eastAsia" w:ascii="仿宋" w:hAnsi="仿宋" w:eastAsia="仿宋" w:cs="仿宋"/>
          <w:sz w:val="32"/>
          <w:szCs w:val="32"/>
        </w:rPr>
        <w:t>大气污染防治财政拨款支出109.57万元，主要用于大气污染防治专项、机动车尾气排放监控平台运行费用、石煤矿污染防治等专项支出；水体污染防治财政拨款支出91.37万元，主要用于水质自动站站房建设支出；其他污染防治财政拨款支出187.17万元，主要用于环保督查专项、大通湖水环境治理专项、土壤污染防治专项、污染防治（综合）专项、发改委合资建食堂、市级排污权专项等项目支出；农村环境保护支出22万元，主要用于自然生态、农村环境保护（综合）专项支出；污染减排支出10万元，主要用于环保督查专项支出</w:t>
      </w:r>
      <w:r>
        <w:rPr>
          <w:rFonts w:hint="eastAsia" w:ascii="仿宋" w:hAnsi="仿宋" w:eastAsia="仿宋" w:cs="宋体"/>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宋体"/>
          <w:sz w:val="32"/>
          <w:szCs w:val="32"/>
        </w:rPr>
        <w:t>5</w:t>
      </w:r>
      <w:r>
        <w:rPr>
          <w:rFonts w:ascii="仿宋" w:hAnsi="仿宋" w:eastAsia="仿宋" w:cs="宋体"/>
          <w:sz w:val="32"/>
          <w:szCs w:val="32"/>
        </w:rPr>
        <w:t>.</w:t>
      </w:r>
      <w:r>
        <w:rPr>
          <w:rFonts w:hint="eastAsia" w:ascii="仿宋" w:hAnsi="仿宋" w:eastAsia="仿宋" w:cs="宋体"/>
          <w:sz w:val="32"/>
          <w:szCs w:val="32"/>
        </w:rPr>
        <w:t>商业服务业等</w:t>
      </w:r>
      <w:r>
        <w:rPr>
          <w:rFonts w:hint="eastAsia" w:ascii="仿宋" w:hAnsi="仿宋" w:eastAsia="仿宋" w:cs="仿宋"/>
          <w:sz w:val="32"/>
          <w:szCs w:val="32"/>
        </w:rPr>
        <w:t>支出年初预算为0万元，支出决算为0.48万元，主要用于2018年度真抓实干成效明显奖金</w:t>
      </w:r>
      <w:r>
        <w:rPr>
          <w:rFonts w:hint="eastAsia" w:ascii="仿宋" w:hAnsi="仿宋" w:eastAsia="仿宋" w:cs="仿宋"/>
          <w:color w:val="FF0000"/>
          <w:sz w:val="32"/>
          <w:szCs w:val="32"/>
        </w:rPr>
        <w:t>。</w:t>
      </w:r>
    </w:p>
    <w:p>
      <w:pPr>
        <w:spacing w:line="600" w:lineRule="exact"/>
        <w:ind w:firstLine="640" w:firstLineChars="200"/>
        <w:rPr>
          <w:rFonts w:ascii="仿宋" w:hAnsi="仿宋" w:eastAsia="仿宋" w:cs="Times New Roman"/>
          <w:sz w:val="32"/>
          <w:szCs w:val="32"/>
        </w:rPr>
      </w:pP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cs="宋体"/>
          <w:sz w:val="32"/>
          <w:szCs w:val="32"/>
        </w:rPr>
        <w:t>住房保障支出</w:t>
      </w:r>
      <w:r>
        <w:rPr>
          <w:rFonts w:hint="eastAsia" w:ascii="仿宋" w:hAnsi="仿宋" w:eastAsia="仿宋" w:cs="仿宋"/>
          <w:sz w:val="32"/>
          <w:szCs w:val="32"/>
        </w:rPr>
        <w:t>财政拨款支出年初预算为118.31万元，支出决算为118.31万元，主要用于缴纳职工住房公积金单位部分。</w:t>
      </w:r>
    </w:p>
    <w:p>
      <w:pPr>
        <w:spacing w:line="600" w:lineRule="exact"/>
        <w:ind w:firstLine="640"/>
        <w:rPr>
          <w:rFonts w:ascii="仿宋" w:hAnsi="仿宋" w:eastAsia="仿宋" w:cs="Times New Roman"/>
          <w:b/>
          <w:sz w:val="32"/>
          <w:szCs w:val="32"/>
        </w:rPr>
      </w:pPr>
      <w:r>
        <w:rPr>
          <w:rFonts w:hint="eastAsia" w:ascii="仿宋" w:hAnsi="仿宋" w:eastAsia="仿宋" w:cs="黑体"/>
          <w:b/>
          <w:sz w:val="32"/>
          <w:szCs w:val="32"/>
        </w:rPr>
        <w:t>六、关于益阳市生态环境局（本级）</w:t>
      </w:r>
      <w:r>
        <w:rPr>
          <w:rFonts w:ascii="仿宋" w:hAnsi="仿宋" w:eastAsia="仿宋" w:cs="黑体"/>
          <w:b/>
          <w:sz w:val="32"/>
          <w:szCs w:val="32"/>
        </w:rPr>
        <w:t>201</w:t>
      </w:r>
      <w:r>
        <w:rPr>
          <w:rFonts w:hint="eastAsia" w:ascii="仿宋" w:hAnsi="仿宋" w:eastAsia="仿宋" w:cs="黑体"/>
          <w:b/>
          <w:sz w:val="32"/>
          <w:szCs w:val="32"/>
        </w:rPr>
        <w:t>9</w:t>
      </w:r>
      <w:r>
        <w:rPr>
          <w:rFonts w:ascii="仿宋" w:hAnsi="仿宋" w:eastAsia="仿宋" w:cs="黑体"/>
          <w:b/>
          <w:sz w:val="32"/>
          <w:szCs w:val="32"/>
        </w:rPr>
        <w:t xml:space="preserve"> </w:t>
      </w:r>
      <w:r>
        <w:rPr>
          <w:rFonts w:hint="eastAsia" w:ascii="仿宋" w:hAnsi="仿宋" w:eastAsia="仿宋" w:cs="黑体"/>
          <w:b/>
          <w:sz w:val="32"/>
          <w:szCs w:val="32"/>
        </w:rPr>
        <w:t>年度一般公共预算财政拨款基本支出决算情况说明</w:t>
      </w:r>
    </w:p>
    <w:p>
      <w:pPr>
        <w:spacing w:line="600" w:lineRule="exact"/>
        <w:ind w:firstLine="640" w:firstLineChars="200"/>
        <w:rPr>
          <w:rFonts w:ascii="仿宋" w:hAnsi="仿宋" w:eastAsia="仿宋" w:cs="Times New Roman"/>
          <w:sz w:val="32"/>
          <w:szCs w:val="32"/>
        </w:rPr>
      </w:pPr>
      <w:r>
        <w:rPr>
          <w:rFonts w:ascii="仿宋" w:hAnsi="仿宋" w:eastAsia="仿宋" w:cs="宋体"/>
          <w:sz w:val="32"/>
          <w:szCs w:val="32"/>
        </w:rPr>
        <w:t>201</w:t>
      </w:r>
      <w:r>
        <w:rPr>
          <w:rFonts w:hint="eastAsia" w:ascii="仿宋" w:hAnsi="仿宋" w:eastAsia="仿宋" w:cs="宋体"/>
          <w:sz w:val="32"/>
          <w:szCs w:val="32"/>
        </w:rPr>
        <w:t>9</w:t>
      </w:r>
      <w:r>
        <w:rPr>
          <w:rFonts w:ascii="仿宋" w:hAnsi="仿宋" w:eastAsia="仿宋" w:cs="宋体"/>
          <w:sz w:val="32"/>
          <w:szCs w:val="32"/>
        </w:rPr>
        <w:t xml:space="preserve"> </w:t>
      </w:r>
      <w:r>
        <w:rPr>
          <w:rFonts w:hint="eastAsia" w:ascii="仿宋" w:hAnsi="仿宋" w:eastAsia="仿宋" w:cs="宋体"/>
          <w:sz w:val="32"/>
          <w:szCs w:val="32"/>
        </w:rPr>
        <w:t>年度一般公共预算财政拨款基本支出2734.23万元，其中人员经费支出1946.27万元，主要包括：基本工资、津贴补贴、奖金、其他社会保障缴费、其他工资福利支出、离休费、退休费、抚恤金、生活补助、医疗费、奖励金、住房公积金、其他对个人和家庭的补助支出；公用经费支出787.96万元。主要包括：办公费、印刷费、咨询费、水费、电费、邮电费、物业管理费、差旅费、维修（护）费、租赁费、培训费、公务接待费、劳务费、工会经费、福利费、公务用车运行维护费、其他交通费用、其他商品和服务支出。</w:t>
      </w:r>
    </w:p>
    <w:p>
      <w:pPr>
        <w:spacing w:line="600" w:lineRule="exact"/>
        <w:ind w:firstLine="640"/>
        <w:rPr>
          <w:rFonts w:ascii="仿宋" w:hAnsi="仿宋" w:eastAsia="仿宋" w:cs="Times New Roman"/>
          <w:b/>
          <w:sz w:val="32"/>
          <w:szCs w:val="32"/>
        </w:rPr>
      </w:pPr>
      <w:r>
        <w:rPr>
          <w:rFonts w:hint="eastAsia" w:ascii="仿宋" w:hAnsi="仿宋" w:eastAsia="仿宋" w:cs="黑体"/>
          <w:b/>
          <w:sz w:val="32"/>
          <w:szCs w:val="32"/>
        </w:rPr>
        <w:t>七、关于益阳市生态环境局（本级）</w:t>
      </w:r>
      <w:r>
        <w:rPr>
          <w:rFonts w:ascii="仿宋" w:hAnsi="仿宋" w:eastAsia="仿宋" w:cs="黑体"/>
          <w:b/>
          <w:sz w:val="32"/>
          <w:szCs w:val="32"/>
        </w:rPr>
        <w:t>201</w:t>
      </w:r>
      <w:r>
        <w:rPr>
          <w:rFonts w:hint="eastAsia" w:ascii="仿宋" w:hAnsi="仿宋" w:eastAsia="仿宋" w:cs="黑体"/>
          <w:b/>
          <w:sz w:val="32"/>
          <w:szCs w:val="32"/>
        </w:rPr>
        <w:t>9年度政府性基金预算财政拨款支出决算情况说明</w:t>
      </w:r>
    </w:p>
    <w:p>
      <w:pPr>
        <w:spacing w:line="600" w:lineRule="exact"/>
        <w:ind w:firstLine="640"/>
        <w:rPr>
          <w:rFonts w:ascii="仿宋" w:hAnsi="仿宋" w:eastAsia="仿宋" w:cs="Times New Roman"/>
          <w:sz w:val="32"/>
          <w:szCs w:val="32"/>
        </w:rPr>
      </w:pPr>
      <w:r>
        <w:rPr>
          <w:rFonts w:hint="eastAsia" w:ascii="仿宋" w:hAnsi="仿宋" w:eastAsia="仿宋" w:cs="仿宋"/>
          <w:sz w:val="32"/>
          <w:szCs w:val="32"/>
        </w:rPr>
        <w:t>2019年度益阳市生态环境局（本级）没有政府性基金收入，也没有政府性基金安排的支出。</w:t>
      </w:r>
    </w:p>
    <w:p>
      <w:pPr>
        <w:spacing w:line="600" w:lineRule="exact"/>
        <w:ind w:firstLine="640"/>
        <w:rPr>
          <w:rFonts w:ascii="仿宋" w:hAnsi="仿宋" w:eastAsia="仿宋" w:cs="Times New Roman"/>
          <w:b/>
          <w:sz w:val="32"/>
          <w:szCs w:val="32"/>
        </w:rPr>
      </w:pPr>
      <w:r>
        <w:rPr>
          <w:rFonts w:hint="eastAsia" w:ascii="仿宋" w:hAnsi="仿宋" w:eastAsia="仿宋" w:cs="黑体"/>
          <w:b/>
          <w:sz w:val="32"/>
          <w:szCs w:val="32"/>
        </w:rPr>
        <w:t>八、关于益阳市生态环境局（本级）</w:t>
      </w:r>
      <w:r>
        <w:rPr>
          <w:rFonts w:ascii="仿宋" w:hAnsi="仿宋" w:eastAsia="仿宋" w:cs="黑体"/>
          <w:b/>
          <w:sz w:val="32"/>
          <w:szCs w:val="32"/>
        </w:rPr>
        <w:t>201</w:t>
      </w:r>
      <w:r>
        <w:rPr>
          <w:rFonts w:hint="eastAsia" w:ascii="仿宋" w:hAnsi="仿宋" w:eastAsia="仿宋" w:cs="黑体"/>
          <w:b/>
          <w:sz w:val="32"/>
          <w:szCs w:val="32"/>
        </w:rPr>
        <w:t>9年度一般公共预算财政拨款“三公”经费支出决算情况说明</w:t>
      </w:r>
    </w:p>
    <w:p>
      <w:pPr>
        <w:spacing w:line="600" w:lineRule="exact"/>
        <w:ind w:firstLine="640"/>
        <w:rPr>
          <w:rFonts w:ascii="仿宋" w:hAnsi="仿宋" w:eastAsia="仿宋" w:cs="Times New Roman"/>
          <w:sz w:val="32"/>
          <w:szCs w:val="32"/>
        </w:rPr>
      </w:pPr>
      <w:r>
        <w:rPr>
          <w:rFonts w:hint="eastAsia" w:ascii="仿宋" w:hAnsi="仿宋" w:eastAsia="仿宋" w:cs="楷体"/>
          <w:sz w:val="32"/>
          <w:szCs w:val="32"/>
        </w:rPr>
        <w:t>（一）“三公”经费财政拨款支出决算总体情况说明。</w:t>
      </w:r>
    </w:p>
    <w:p>
      <w:pPr>
        <w:spacing w:line="600" w:lineRule="exact"/>
        <w:ind w:firstLine="640"/>
        <w:rPr>
          <w:rFonts w:ascii="仿宋" w:hAnsi="仿宋" w:eastAsia="仿宋" w:cs="Times New Roman"/>
          <w:color w:val="FF0000"/>
          <w:sz w:val="32"/>
          <w:szCs w:val="32"/>
        </w:rPr>
      </w:pPr>
      <w:r>
        <w:rPr>
          <w:rFonts w:ascii="仿宋" w:hAnsi="仿宋" w:eastAsia="仿宋" w:cs="仿宋"/>
          <w:sz w:val="32"/>
          <w:szCs w:val="32"/>
        </w:rPr>
        <w:t>201</w:t>
      </w:r>
      <w:r>
        <w:rPr>
          <w:rFonts w:hint="eastAsia" w:ascii="仿宋" w:hAnsi="仿宋" w:eastAsia="仿宋" w:cs="仿宋"/>
          <w:sz w:val="32"/>
          <w:szCs w:val="32"/>
        </w:rPr>
        <w:t>9</w:t>
      </w:r>
      <w:r>
        <w:rPr>
          <w:rFonts w:ascii="仿宋" w:hAnsi="仿宋" w:eastAsia="仿宋" w:cs="仿宋"/>
          <w:sz w:val="32"/>
          <w:szCs w:val="32"/>
        </w:rPr>
        <w:t xml:space="preserve"> </w:t>
      </w:r>
      <w:r>
        <w:rPr>
          <w:rFonts w:hint="eastAsia" w:ascii="仿宋" w:hAnsi="仿宋" w:eastAsia="仿宋" w:cs="仿宋"/>
          <w:sz w:val="32"/>
          <w:szCs w:val="32"/>
        </w:rPr>
        <w:t>年度“三公”经费财政拨款支出预算为84万元，支出决算为69.81万元，完成预算的83.1</w:t>
      </w:r>
      <w:r>
        <w:rPr>
          <w:rFonts w:ascii="仿宋" w:hAnsi="仿宋" w:eastAsia="仿宋" w:cs="仿宋"/>
          <w:sz w:val="32"/>
          <w:szCs w:val="32"/>
        </w:rPr>
        <w:t>%</w:t>
      </w:r>
      <w:r>
        <w:rPr>
          <w:rFonts w:hint="eastAsia" w:ascii="仿宋" w:hAnsi="仿宋" w:eastAsia="仿宋" w:cs="仿宋"/>
          <w:sz w:val="32"/>
          <w:szCs w:val="32"/>
        </w:rPr>
        <w:t>，其中：因公出国（境）费支出决算为</w:t>
      </w:r>
      <w:r>
        <w:rPr>
          <w:rFonts w:ascii="仿宋" w:hAnsi="仿宋" w:eastAsia="仿宋" w:cs="仿宋"/>
          <w:sz w:val="32"/>
          <w:szCs w:val="32"/>
        </w:rPr>
        <w:t xml:space="preserve"> 0</w:t>
      </w:r>
      <w:r>
        <w:rPr>
          <w:rFonts w:hint="eastAsia" w:ascii="仿宋" w:hAnsi="仿宋" w:eastAsia="仿宋" w:cs="仿宋"/>
          <w:sz w:val="32"/>
          <w:szCs w:val="32"/>
        </w:rPr>
        <w:t>万元；公务用车购置及运行费支出决算为24.78万元；公务接待费支出决算为45.03万元。</w:t>
      </w:r>
      <w:r>
        <w:rPr>
          <w:rFonts w:ascii="仿宋" w:hAnsi="仿宋" w:eastAsia="仿宋" w:cs="仿宋"/>
          <w:sz w:val="32"/>
          <w:szCs w:val="32"/>
        </w:rPr>
        <w:t>201</w:t>
      </w:r>
      <w:r>
        <w:rPr>
          <w:rFonts w:hint="eastAsia" w:ascii="仿宋" w:hAnsi="仿宋" w:eastAsia="仿宋" w:cs="仿宋"/>
          <w:sz w:val="32"/>
          <w:szCs w:val="32"/>
        </w:rPr>
        <w:t>9年度“三公”经费支出决算数小于预算数的主要原因：加强内部控制，减少公务接待费支出。</w:t>
      </w:r>
    </w:p>
    <w:p>
      <w:pPr>
        <w:spacing w:line="600" w:lineRule="exact"/>
        <w:ind w:firstLine="640"/>
        <w:rPr>
          <w:rFonts w:ascii="仿宋" w:hAnsi="仿宋" w:eastAsia="仿宋" w:cs="Times New Roman"/>
          <w:sz w:val="32"/>
          <w:szCs w:val="32"/>
        </w:rPr>
      </w:pPr>
      <w:r>
        <w:rPr>
          <w:rFonts w:hint="eastAsia" w:ascii="仿宋" w:hAnsi="仿宋" w:eastAsia="仿宋" w:cs="楷体"/>
          <w:sz w:val="32"/>
          <w:szCs w:val="32"/>
        </w:rPr>
        <w:t>（二）“三公”经费财政拨款支出决算具体情况说明。</w:t>
      </w:r>
    </w:p>
    <w:p>
      <w:pPr>
        <w:spacing w:line="600" w:lineRule="exact"/>
        <w:ind w:firstLine="640"/>
        <w:rPr>
          <w:rFonts w:ascii="仿宋" w:hAnsi="仿宋" w:eastAsia="仿宋" w:cs="Times New Roman"/>
          <w:sz w:val="32"/>
          <w:szCs w:val="32"/>
        </w:rPr>
      </w:pPr>
      <w:r>
        <w:rPr>
          <w:rFonts w:ascii="仿宋" w:hAnsi="仿宋" w:eastAsia="仿宋" w:cs="楷体"/>
          <w:sz w:val="32"/>
          <w:szCs w:val="32"/>
        </w:rPr>
        <w:t xml:space="preserve"> </w:t>
      </w:r>
      <w:r>
        <w:rPr>
          <w:rFonts w:ascii="仿宋" w:hAnsi="仿宋" w:eastAsia="仿宋" w:cs="仿宋"/>
          <w:sz w:val="32"/>
          <w:szCs w:val="32"/>
        </w:rPr>
        <w:t>201</w:t>
      </w:r>
      <w:r>
        <w:rPr>
          <w:rFonts w:hint="eastAsia" w:ascii="仿宋" w:hAnsi="仿宋" w:eastAsia="仿宋" w:cs="仿宋"/>
          <w:sz w:val="32"/>
          <w:szCs w:val="32"/>
        </w:rPr>
        <w:t>9</w:t>
      </w:r>
      <w:r>
        <w:rPr>
          <w:rFonts w:ascii="仿宋" w:hAnsi="仿宋" w:eastAsia="仿宋" w:cs="仿宋"/>
          <w:sz w:val="32"/>
          <w:szCs w:val="32"/>
        </w:rPr>
        <w:t xml:space="preserve"> </w:t>
      </w:r>
      <w:r>
        <w:rPr>
          <w:rFonts w:hint="eastAsia" w:ascii="仿宋" w:hAnsi="仿宋" w:eastAsia="仿宋" w:cs="仿宋"/>
          <w:sz w:val="32"/>
          <w:szCs w:val="32"/>
        </w:rPr>
        <w:t>年度“三公”经费财政拨款支出决算为69.81万元，其中：因公出国（境）费支出决算为</w:t>
      </w:r>
      <w:r>
        <w:rPr>
          <w:rFonts w:ascii="仿宋" w:hAnsi="仿宋" w:eastAsia="仿宋" w:cs="仿宋"/>
          <w:sz w:val="32"/>
          <w:szCs w:val="32"/>
        </w:rPr>
        <w:t xml:space="preserve"> 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；公务用车购置及运行费支出决算为24.78万元，占35.5</w:t>
      </w:r>
      <w:r>
        <w:rPr>
          <w:rFonts w:ascii="仿宋" w:hAnsi="仿宋" w:eastAsia="仿宋" w:cs="仿宋"/>
          <w:sz w:val="32"/>
          <w:szCs w:val="32"/>
        </w:rPr>
        <w:t>%</w:t>
      </w:r>
      <w:r>
        <w:rPr>
          <w:rFonts w:hint="eastAsia" w:ascii="仿宋" w:hAnsi="仿宋" w:eastAsia="仿宋" w:cs="仿宋"/>
          <w:sz w:val="32"/>
          <w:szCs w:val="32"/>
        </w:rPr>
        <w:t>；公务接待费支出决算为45.03万元，占64.5</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201</w:t>
      </w:r>
      <w:r>
        <w:rPr>
          <w:rFonts w:hint="eastAsia" w:ascii="仿宋" w:hAnsi="仿宋" w:eastAsia="仿宋" w:cs="仿宋"/>
          <w:sz w:val="32"/>
          <w:szCs w:val="32"/>
        </w:rPr>
        <w:t>9</w:t>
      </w:r>
      <w:r>
        <w:rPr>
          <w:rFonts w:ascii="仿宋" w:hAnsi="仿宋" w:eastAsia="仿宋" w:cs="仿宋"/>
          <w:sz w:val="32"/>
          <w:szCs w:val="32"/>
        </w:rPr>
        <w:t xml:space="preserve"> </w:t>
      </w:r>
      <w:r>
        <w:rPr>
          <w:rFonts w:hint="eastAsia" w:ascii="仿宋" w:hAnsi="仿宋" w:eastAsia="仿宋" w:cs="仿宋"/>
          <w:sz w:val="32"/>
          <w:szCs w:val="32"/>
        </w:rPr>
        <w:t>年度“三公”经费支出决算数小于上年决算数的主要原因：加强内部控制，减少公务接待费和公车运行费支出。</w:t>
      </w:r>
    </w:p>
    <w:p>
      <w:pPr>
        <w:spacing w:line="600" w:lineRule="exact"/>
        <w:ind w:firstLine="480" w:firstLineChars="150"/>
        <w:rPr>
          <w:rFonts w:ascii="仿宋" w:hAnsi="仿宋" w:eastAsia="仿宋" w:cs="Times New Roman"/>
          <w:sz w:val="32"/>
          <w:szCs w:val="32"/>
        </w:rPr>
      </w:pPr>
      <w:r>
        <w:rPr>
          <w:rFonts w:ascii="仿宋" w:hAnsi="仿宋" w:eastAsia="仿宋" w:cs="楷体"/>
          <w:sz w:val="32"/>
          <w:szCs w:val="32"/>
        </w:rPr>
        <w:t>1</w:t>
      </w:r>
      <w:r>
        <w:rPr>
          <w:rFonts w:hint="eastAsia" w:ascii="仿宋" w:hAnsi="仿宋" w:eastAsia="仿宋" w:cs="楷体"/>
          <w:sz w:val="32"/>
          <w:szCs w:val="32"/>
        </w:rPr>
        <w:t>、因公出国（境）情况说明</w:t>
      </w:r>
    </w:p>
    <w:p>
      <w:pPr>
        <w:spacing w:line="600" w:lineRule="exact"/>
        <w:ind w:firstLine="480" w:firstLineChars="150"/>
        <w:rPr>
          <w:rFonts w:ascii="仿宋" w:hAnsi="仿宋" w:eastAsia="仿宋" w:cs="Times New Roman"/>
          <w:sz w:val="32"/>
          <w:szCs w:val="32"/>
        </w:rPr>
      </w:pPr>
      <w:r>
        <w:rPr>
          <w:rFonts w:hint="eastAsia" w:ascii="仿宋" w:hAnsi="仿宋" w:eastAsia="仿宋" w:cs="仿宋"/>
          <w:sz w:val="32"/>
          <w:szCs w:val="32"/>
        </w:rPr>
        <w:t>因公出国（境）团组数</w:t>
      </w:r>
      <w:r>
        <w:rPr>
          <w:rFonts w:ascii="仿宋" w:hAnsi="仿宋" w:eastAsia="仿宋" w:cs="仿宋"/>
          <w:sz w:val="32"/>
          <w:szCs w:val="32"/>
        </w:rPr>
        <w:t>0</w:t>
      </w:r>
      <w:r>
        <w:rPr>
          <w:rFonts w:hint="eastAsia" w:ascii="仿宋" w:hAnsi="仿宋" w:eastAsia="仿宋" w:cs="仿宋"/>
          <w:sz w:val="32"/>
          <w:szCs w:val="32"/>
        </w:rPr>
        <w:t>个，</w:t>
      </w:r>
      <w:r>
        <w:rPr>
          <w:rFonts w:ascii="仿宋" w:hAnsi="仿宋" w:eastAsia="仿宋" w:cs="仿宋"/>
          <w:sz w:val="32"/>
          <w:szCs w:val="32"/>
        </w:rPr>
        <w:t>0</w:t>
      </w:r>
      <w:r>
        <w:rPr>
          <w:rFonts w:hint="eastAsia" w:ascii="仿宋" w:hAnsi="仿宋" w:eastAsia="仿宋" w:cs="仿宋"/>
          <w:sz w:val="32"/>
          <w:szCs w:val="32"/>
        </w:rPr>
        <w:t>人。</w:t>
      </w:r>
    </w:p>
    <w:p>
      <w:pPr>
        <w:spacing w:line="600" w:lineRule="exact"/>
        <w:ind w:firstLine="480" w:firstLineChars="150"/>
        <w:rPr>
          <w:rFonts w:ascii="仿宋" w:hAnsi="仿宋" w:eastAsia="仿宋" w:cs="Times New Roman"/>
          <w:sz w:val="32"/>
          <w:szCs w:val="32"/>
        </w:rPr>
      </w:pPr>
      <w:r>
        <w:rPr>
          <w:rFonts w:ascii="仿宋" w:hAnsi="仿宋" w:eastAsia="仿宋" w:cs="楷体"/>
          <w:sz w:val="32"/>
          <w:szCs w:val="32"/>
        </w:rPr>
        <w:t>2</w:t>
      </w:r>
      <w:r>
        <w:rPr>
          <w:rFonts w:hint="eastAsia" w:ascii="仿宋" w:hAnsi="仿宋" w:eastAsia="仿宋" w:cs="楷体"/>
          <w:sz w:val="32"/>
          <w:szCs w:val="32"/>
        </w:rPr>
        <w:t>、公务用车购置及运行经费情况说明</w:t>
      </w:r>
    </w:p>
    <w:p>
      <w:pPr>
        <w:spacing w:line="600" w:lineRule="exact"/>
        <w:ind w:firstLine="480" w:firstLineChars="150"/>
        <w:rPr>
          <w:rFonts w:ascii="仿宋" w:hAnsi="仿宋" w:eastAsia="仿宋" w:cs="Times New Roman"/>
          <w:sz w:val="32"/>
          <w:szCs w:val="32"/>
        </w:rPr>
      </w:pPr>
      <w:r>
        <w:rPr>
          <w:rFonts w:hint="eastAsia" w:ascii="仿宋" w:hAnsi="仿宋" w:eastAsia="仿宋" w:cs="仿宋"/>
          <w:sz w:val="32"/>
          <w:szCs w:val="32"/>
        </w:rPr>
        <w:t>公务用车购置支出：</w:t>
      </w:r>
      <w:r>
        <w:rPr>
          <w:rFonts w:ascii="仿宋" w:hAnsi="仿宋" w:eastAsia="仿宋" w:cs="仿宋"/>
          <w:sz w:val="32"/>
          <w:szCs w:val="32"/>
        </w:rPr>
        <w:t>0</w:t>
      </w:r>
      <w:r>
        <w:rPr>
          <w:rFonts w:hint="eastAsia" w:ascii="仿宋" w:hAnsi="仿宋" w:eastAsia="仿宋" w:cs="仿宋"/>
          <w:sz w:val="32"/>
          <w:szCs w:val="32"/>
        </w:rPr>
        <w:t>万元，购置数</w:t>
      </w:r>
      <w:r>
        <w:rPr>
          <w:rFonts w:ascii="仿宋" w:hAnsi="仿宋" w:eastAsia="仿宋" w:cs="仿宋"/>
          <w:sz w:val="32"/>
          <w:szCs w:val="32"/>
        </w:rPr>
        <w:t>0</w:t>
      </w:r>
      <w:r>
        <w:rPr>
          <w:rFonts w:hint="eastAsia" w:ascii="仿宋" w:hAnsi="仿宋" w:eastAsia="仿宋" w:cs="仿宋"/>
          <w:sz w:val="32"/>
          <w:szCs w:val="32"/>
        </w:rPr>
        <w:t>台，保有量</w:t>
      </w:r>
      <w:r>
        <w:rPr>
          <w:rFonts w:ascii="仿宋" w:hAnsi="仿宋" w:eastAsia="仿宋" w:cs="仿宋"/>
          <w:sz w:val="32"/>
          <w:szCs w:val="32"/>
        </w:rPr>
        <w:t>6</w:t>
      </w:r>
      <w:r>
        <w:rPr>
          <w:rFonts w:hint="eastAsia" w:ascii="仿宋" w:hAnsi="仿宋" w:eastAsia="仿宋" w:cs="仿宋"/>
          <w:sz w:val="32"/>
          <w:szCs w:val="32"/>
        </w:rPr>
        <w:t>台；公车运行经费支出：24.78万元，主要用于车辆的燃料费和修理费以及保险费。</w:t>
      </w:r>
    </w:p>
    <w:p>
      <w:pPr>
        <w:spacing w:line="600" w:lineRule="exact"/>
        <w:ind w:firstLine="640"/>
        <w:rPr>
          <w:rFonts w:ascii="仿宋" w:hAnsi="仿宋" w:eastAsia="仿宋" w:cs="Times New Roman"/>
          <w:sz w:val="32"/>
          <w:szCs w:val="32"/>
        </w:rPr>
      </w:pPr>
      <w:r>
        <w:rPr>
          <w:rFonts w:ascii="仿宋" w:hAnsi="仿宋" w:eastAsia="仿宋" w:cs="楷体"/>
          <w:sz w:val="32"/>
          <w:szCs w:val="32"/>
        </w:rPr>
        <w:t>3</w:t>
      </w:r>
      <w:r>
        <w:rPr>
          <w:rFonts w:hint="eastAsia" w:ascii="仿宋" w:hAnsi="仿宋" w:eastAsia="仿宋" w:cs="楷体"/>
          <w:sz w:val="32"/>
          <w:szCs w:val="32"/>
        </w:rPr>
        <w:t>、公务接待情况说明</w:t>
      </w:r>
    </w:p>
    <w:p>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公务接待支出45.03万元，国内公务接待352批次，接待3520人。公务接待支出主要用于机关</w:t>
      </w:r>
      <w:r>
        <w:rPr>
          <w:rFonts w:hint="eastAsia" w:ascii="仿宋" w:hAnsi="仿宋" w:eastAsia="仿宋" w:cs="仿宋"/>
          <w:sz w:val="32"/>
          <w:szCs w:val="32"/>
          <w:lang w:eastAsia="zh-CN"/>
        </w:rPr>
        <w:t>和下属</w:t>
      </w:r>
      <w:r>
        <w:rPr>
          <w:rFonts w:hint="eastAsia" w:ascii="仿宋" w:hAnsi="仿宋" w:eastAsia="仿宋" w:cs="仿宋"/>
          <w:sz w:val="32"/>
          <w:szCs w:val="32"/>
          <w:lang w:val="en-US" w:eastAsia="zh-CN"/>
        </w:rPr>
        <w:t>6个二级机构（益阳市环境监察支队、益阳市环境保护信息中心、益阳市主要污染物排污权储备中心、益阳市资阳区环保分局、益阳市赫山区环保分局、益阳市高新区环保分局）</w:t>
      </w:r>
      <w:r>
        <w:rPr>
          <w:rFonts w:hint="eastAsia" w:ascii="仿宋" w:hAnsi="仿宋" w:eastAsia="仿宋" w:cs="仿宋"/>
          <w:sz w:val="32"/>
          <w:szCs w:val="32"/>
        </w:rPr>
        <w:t>各项公务接待和会议接待费用以及机关招商引资专项接待费用。</w:t>
      </w:r>
    </w:p>
    <w:p>
      <w:pPr>
        <w:spacing w:line="600" w:lineRule="exact"/>
        <w:ind w:firstLine="640"/>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spacing w:line="600" w:lineRule="exact"/>
        <w:ind w:firstLine="640"/>
        <w:rPr>
          <w:rFonts w:ascii="仿宋" w:hAnsi="仿宋" w:eastAsia="仿宋" w:cs="黑体"/>
          <w:sz w:val="32"/>
        </w:rPr>
      </w:pPr>
      <w:r>
        <w:rPr>
          <w:rFonts w:hint="eastAsia" w:ascii="仿宋" w:hAnsi="仿宋" w:eastAsia="仿宋" w:cs="黑体"/>
          <w:sz w:val="32"/>
        </w:rPr>
        <w:t>（一）绩效管理工作开展情况</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益阳市生态环境局对绩效管理工作高度重视，根据益阳市财政局《关于开展</w:t>
      </w:r>
      <w:r>
        <w:rPr>
          <w:rFonts w:ascii="仿宋" w:hAnsi="仿宋" w:eastAsia="仿宋" w:cs="仿宋"/>
          <w:sz w:val="32"/>
          <w:szCs w:val="32"/>
        </w:rPr>
        <w:t>201</w:t>
      </w:r>
      <w:r>
        <w:rPr>
          <w:rFonts w:hint="eastAsia" w:ascii="仿宋" w:hAnsi="仿宋" w:eastAsia="仿宋" w:cs="仿宋"/>
          <w:sz w:val="32"/>
          <w:szCs w:val="32"/>
        </w:rPr>
        <w:t>9年度预算绩效自评工作的通知》（</w:t>
      </w:r>
      <w:r>
        <w:rPr>
          <w:rFonts w:hint="eastAsia" w:ascii="仿宋" w:hAnsi="仿宋" w:eastAsia="仿宋" w:cs="楷体"/>
          <w:sz w:val="32"/>
          <w:szCs w:val="32"/>
        </w:rPr>
        <w:t>益财绩〔2020〕70号</w:t>
      </w:r>
      <w:r>
        <w:rPr>
          <w:rFonts w:hint="eastAsia" w:ascii="仿宋" w:hAnsi="仿宋" w:eastAsia="仿宋" w:cs="仿宋"/>
          <w:sz w:val="32"/>
          <w:szCs w:val="32"/>
        </w:rPr>
        <w:t>）文件精神，我局认真组织开展了</w:t>
      </w:r>
      <w:r>
        <w:rPr>
          <w:rFonts w:ascii="仿宋" w:hAnsi="仿宋" w:eastAsia="仿宋" w:cs="仿宋"/>
          <w:sz w:val="32"/>
          <w:szCs w:val="32"/>
        </w:rPr>
        <w:t>201</w:t>
      </w:r>
      <w:r>
        <w:rPr>
          <w:rFonts w:hint="eastAsia" w:ascii="仿宋" w:hAnsi="仿宋" w:eastAsia="仿宋" w:cs="仿宋"/>
          <w:sz w:val="32"/>
          <w:szCs w:val="32"/>
        </w:rPr>
        <w:t>9年度预算绩效评价工作</w:t>
      </w:r>
      <w:r>
        <w:rPr>
          <w:rFonts w:ascii="仿宋" w:hAnsi="仿宋" w:eastAsia="仿宋" w:cs="仿宋"/>
          <w:sz w:val="32"/>
          <w:szCs w:val="32"/>
        </w:rPr>
        <w:t>,</w:t>
      </w:r>
      <w:r>
        <w:rPr>
          <w:rFonts w:hint="eastAsia" w:ascii="仿宋" w:hAnsi="仿宋" w:eastAsia="仿宋" w:cs="Times New Roman"/>
          <w:sz w:val="32"/>
          <w:szCs w:val="32"/>
        </w:rPr>
        <w:t>通过分析相关文件和部门预算决算报表、核实数据、查阅资料、实地询问查看、归纳汇总、评价组对各项评价指标进行分析讨论、形成绩效评价报告等步骤对益阳市生态环境局2019年整体支出、</w:t>
      </w:r>
      <w:r>
        <w:rPr>
          <w:rFonts w:hint="eastAsia" w:ascii="仿宋" w:hAnsi="仿宋" w:eastAsia="仿宋" w:cs="仿宋"/>
          <w:sz w:val="32"/>
          <w:szCs w:val="32"/>
        </w:rPr>
        <w:t>大通湖水环境治理专项、第二次全国污染源普查专项、长江经济带战略环境影响评价益阳市“三线一单”编制专项、建设项目环境影响评价技术评审专项、招商引资专项、生环委办环保督查专项进行了绩效评价。从评价情况来看，项目立项程序完整、规范，预算执行及时、有效，为上级有关部门决策提供了较为有力的支撑，绩效目标得到较好实现，绩效管理水平不断提高。</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（二）部门决算中项目绩效自评结果。</w:t>
      </w:r>
    </w:p>
    <w:p>
      <w:pPr>
        <w:pStyle w:val="5"/>
        <w:spacing w:before="0" w:beforeAutospacing="0" w:after="0" w:afterAutospacing="0" w:line="600" w:lineRule="exact"/>
        <w:ind w:firstLine="600"/>
        <w:jc w:val="both"/>
        <w:rPr>
          <w:rFonts w:ascii="仿宋" w:hAnsi="仿宋" w:eastAsia="仿宋" w:cs="仿宋"/>
          <w:kern w:val="2"/>
          <w:sz w:val="32"/>
          <w:szCs w:val="32"/>
        </w:rPr>
      </w:pPr>
      <w:r>
        <w:rPr>
          <w:rFonts w:hint="eastAsia" w:ascii="仿宋" w:hAnsi="仿宋" w:eastAsia="仿宋" w:cs="仿宋"/>
          <w:kern w:val="2"/>
          <w:sz w:val="32"/>
          <w:szCs w:val="32"/>
        </w:rPr>
        <w:t>益阳市生态环境局组织了在2019年度部门决算中反映的</w:t>
      </w:r>
      <w:r>
        <w:rPr>
          <w:rFonts w:hint="eastAsia" w:ascii="仿宋" w:hAnsi="仿宋" w:eastAsia="仿宋" w:cs="Times New Roman"/>
          <w:sz w:val="32"/>
          <w:szCs w:val="32"/>
        </w:rPr>
        <w:t>益阳市生态环境局2019年整体支出、</w:t>
      </w:r>
      <w:r>
        <w:rPr>
          <w:rFonts w:hint="eastAsia" w:ascii="仿宋" w:hAnsi="仿宋" w:eastAsia="仿宋" w:cs="仿宋"/>
          <w:sz w:val="32"/>
          <w:szCs w:val="32"/>
        </w:rPr>
        <w:t>大通湖水环境治理专项、第二次全国污染源普查专项、长江经济带战略环境影响评价益阳市“三线一单”编制专项、建设项目环境影响评价技术评审专项、招商引资专项、生环委办环保督查专项</w:t>
      </w:r>
      <w:r>
        <w:rPr>
          <w:rFonts w:hint="eastAsia" w:ascii="仿宋" w:hAnsi="仿宋" w:eastAsia="仿宋" w:cs="仿宋"/>
          <w:kern w:val="2"/>
          <w:sz w:val="32"/>
          <w:szCs w:val="32"/>
        </w:rPr>
        <w:t>的绩效评价。经评价小组综合评价，我局2019年度项目绩效自评均为“优良”。</w:t>
      </w:r>
    </w:p>
    <w:p>
      <w:pPr>
        <w:spacing w:line="600" w:lineRule="exact"/>
        <w:ind w:firstLine="640"/>
        <w:rPr>
          <w:rFonts w:ascii="仿宋" w:hAnsi="仿宋" w:eastAsia="仿宋" w:cs="Times New Roman"/>
          <w:b/>
          <w:sz w:val="32"/>
          <w:szCs w:val="32"/>
        </w:rPr>
      </w:pPr>
      <w:r>
        <w:rPr>
          <w:rFonts w:hint="eastAsia" w:ascii="仿宋" w:hAnsi="仿宋" w:eastAsia="仿宋" w:cs="黑体"/>
          <w:b/>
          <w:sz w:val="32"/>
          <w:szCs w:val="32"/>
        </w:rPr>
        <w:t>十、其他重要事项的情况说明</w:t>
      </w:r>
    </w:p>
    <w:p>
      <w:pPr>
        <w:spacing w:line="600" w:lineRule="exact"/>
        <w:ind w:firstLine="640" w:firstLineChars="200"/>
        <w:rPr>
          <w:rFonts w:ascii="仿宋" w:hAnsi="仿宋" w:eastAsia="仿宋" w:cs="Times New Roman"/>
          <w:sz w:val="32"/>
          <w:szCs w:val="32"/>
        </w:rPr>
      </w:pPr>
      <w:r>
        <w:rPr>
          <w:rFonts w:hint="eastAsia" w:ascii="仿宋" w:hAnsi="仿宋" w:eastAsia="仿宋" w:cs="楷体"/>
          <w:sz w:val="32"/>
          <w:szCs w:val="32"/>
        </w:rPr>
        <w:t>（一）预决算收支增减变化情况</w:t>
      </w:r>
    </w:p>
    <w:p>
      <w:pPr>
        <w:spacing w:line="600" w:lineRule="exact"/>
        <w:ind w:firstLine="640"/>
        <w:rPr>
          <w:rFonts w:ascii="仿宋" w:hAnsi="仿宋" w:eastAsia="仿宋" w:cs="仿宋"/>
          <w:sz w:val="32"/>
          <w:szCs w:val="32"/>
        </w:rPr>
      </w:pPr>
      <w:r>
        <w:rPr>
          <w:rFonts w:ascii="仿宋" w:hAnsi="仿宋" w:eastAsia="仿宋" w:cs="楷体"/>
          <w:sz w:val="32"/>
          <w:szCs w:val="32"/>
        </w:rPr>
        <w:t>201</w:t>
      </w:r>
      <w:r>
        <w:rPr>
          <w:rFonts w:hint="eastAsia" w:ascii="仿宋" w:hAnsi="仿宋" w:eastAsia="仿宋" w:cs="楷体"/>
          <w:sz w:val="32"/>
          <w:szCs w:val="32"/>
        </w:rPr>
        <w:t>9年预算收入为</w:t>
      </w:r>
      <w:r>
        <w:rPr>
          <w:rFonts w:hint="eastAsia" w:ascii="仿宋" w:hAnsi="仿宋" w:eastAsia="仿宋"/>
          <w:sz w:val="32"/>
          <w:szCs w:val="32"/>
        </w:rPr>
        <w:t>2734.85</w:t>
      </w:r>
      <w:r>
        <w:rPr>
          <w:rFonts w:hint="eastAsia" w:ascii="仿宋" w:hAnsi="仿宋" w:eastAsia="仿宋" w:cs="楷体"/>
          <w:sz w:val="32"/>
          <w:szCs w:val="32"/>
        </w:rPr>
        <w:t>万元，支出为</w:t>
      </w:r>
      <w:r>
        <w:rPr>
          <w:rFonts w:hint="eastAsia" w:ascii="仿宋" w:hAnsi="仿宋" w:eastAsia="仿宋"/>
          <w:sz w:val="32"/>
          <w:szCs w:val="32"/>
        </w:rPr>
        <w:t>2734.85</w:t>
      </w:r>
      <w:r>
        <w:rPr>
          <w:rFonts w:hint="eastAsia" w:ascii="仿宋" w:hAnsi="仿宋" w:eastAsia="仿宋" w:cs="楷体"/>
          <w:sz w:val="32"/>
          <w:szCs w:val="32"/>
        </w:rPr>
        <w:t>万元。决算收入为10079.13万元，支出为4278.1万元。</w:t>
      </w:r>
      <w:r>
        <w:rPr>
          <w:rFonts w:hint="eastAsia" w:ascii="仿宋" w:hAnsi="仿宋" w:eastAsia="仿宋" w:cs="仿宋"/>
          <w:sz w:val="32"/>
          <w:szCs w:val="32"/>
        </w:rPr>
        <w:t>主要原因：一是增加职工工资福利，增加工资福利收入和支出；二是国家加大对水、土壤、大气环境污染防治治理的投入，增加环境污染防治专项收入和支出；三是部分项目未完成，</w:t>
      </w:r>
      <w:r>
        <w:rPr>
          <w:rFonts w:hint="eastAsia" w:ascii="仿宋" w:hAnsi="仿宋" w:eastAsia="仿宋"/>
          <w:sz w:val="32"/>
          <w:szCs w:val="32"/>
        </w:rPr>
        <w:t>2019年的项目收入大部分结转到2020年。</w:t>
      </w:r>
    </w:p>
    <w:p>
      <w:pPr>
        <w:spacing w:line="600" w:lineRule="exact"/>
        <w:ind w:firstLine="800" w:firstLineChars="250"/>
        <w:rPr>
          <w:rFonts w:ascii="仿宋" w:hAnsi="仿宋" w:eastAsia="仿宋" w:cs="Times New Roman"/>
          <w:color w:val="FF0000"/>
          <w:sz w:val="32"/>
          <w:szCs w:val="32"/>
        </w:rPr>
      </w:pPr>
      <w:r>
        <w:rPr>
          <w:rFonts w:hint="eastAsia" w:ascii="仿宋" w:hAnsi="仿宋" w:eastAsia="仿宋" w:cs="楷体"/>
          <w:sz w:val="32"/>
          <w:szCs w:val="32"/>
        </w:rPr>
        <w:t>（二）机关运行经费支出情况</w:t>
      </w:r>
    </w:p>
    <w:p>
      <w:pPr>
        <w:spacing w:line="600" w:lineRule="exact"/>
        <w:ind w:firstLine="640"/>
        <w:rPr>
          <w:rFonts w:ascii="仿宋" w:hAnsi="仿宋" w:eastAsia="仿宋" w:cs="仿宋"/>
          <w:sz w:val="32"/>
          <w:szCs w:val="32"/>
        </w:rPr>
      </w:pPr>
      <w:r>
        <w:rPr>
          <w:rFonts w:ascii="仿宋" w:hAnsi="仿宋" w:eastAsia="仿宋" w:cs="楷体"/>
          <w:color w:val="FF0000"/>
          <w:sz w:val="32"/>
          <w:szCs w:val="32"/>
        </w:rPr>
        <w:t xml:space="preserve"> </w:t>
      </w:r>
      <w:r>
        <w:rPr>
          <w:rFonts w:hint="eastAsia" w:ascii="仿宋" w:hAnsi="仿宋" w:eastAsia="仿宋" w:cs="楷体"/>
          <w:sz w:val="32"/>
          <w:szCs w:val="32"/>
        </w:rPr>
        <w:t>益阳市生态环境局（本级）2019年度</w:t>
      </w:r>
      <w:r>
        <w:rPr>
          <w:rFonts w:hint="eastAsia" w:ascii="仿宋" w:hAnsi="仿宋" w:eastAsia="仿宋" w:cs="仿宋"/>
          <w:sz w:val="32"/>
          <w:szCs w:val="32"/>
        </w:rPr>
        <w:t>机关运行经费支出787.96万元，较上年增加471.06万元，增加148.65</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w:t>
      </w:r>
      <w:r>
        <w:rPr>
          <w:rFonts w:hint="eastAsia" w:ascii="仿宋" w:hAnsi="仿宋" w:eastAsia="仿宋" w:cs="仿宋"/>
          <w:sz w:val="32"/>
          <w:szCs w:val="32"/>
        </w:rPr>
        <w:t>是国家大幅度加大环保执法力度，相应地增加了机关运行经费支出。</w:t>
      </w:r>
    </w:p>
    <w:p>
      <w:pPr>
        <w:spacing w:line="600" w:lineRule="exact"/>
        <w:ind w:firstLine="640"/>
        <w:rPr>
          <w:rFonts w:ascii="仿宋" w:hAnsi="仿宋" w:eastAsia="仿宋" w:cs="Times New Roman"/>
          <w:sz w:val="32"/>
          <w:szCs w:val="32"/>
        </w:rPr>
      </w:pPr>
      <w:r>
        <w:rPr>
          <w:rFonts w:hint="eastAsia" w:ascii="仿宋" w:hAnsi="仿宋" w:eastAsia="仿宋" w:cs="楷体"/>
          <w:sz w:val="32"/>
          <w:szCs w:val="32"/>
        </w:rPr>
        <w:t>（三）政府采购支出情况</w:t>
      </w:r>
    </w:p>
    <w:p>
      <w:pPr>
        <w:spacing w:line="600" w:lineRule="exact"/>
        <w:ind w:firstLine="640"/>
        <w:rPr>
          <w:rFonts w:ascii="仿宋" w:hAnsi="仿宋" w:eastAsia="仿宋" w:cs="Times New Roman"/>
          <w:color w:val="FF0000"/>
          <w:sz w:val="32"/>
          <w:szCs w:val="32"/>
        </w:rPr>
      </w:pPr>
      <w:r>
        <w:rPr>
          <w:rFonts w:hint="eastAsia" w:ascii="仿宋" w:hAnsi="仿宋" w:eastAsia="仿宋" w:cs="楷体"/>
          <w:sz w:val="32"/>
          <w:szCs w:val="32"/>
        </w:rPr>
        <w:t>益阳市生态环境局（本级）2019年度政府采购</w:t>
      </w:r>
      <w:r>
        <w:rPr>
          <w:rFonts w:hint="eastAsia" w:ascii="仿宋" w:hAnsi="仿宋" w:eastAsia="仿宋" w:cs="仿宋"/>
          <w:sz w:val="32"/>
          <w:szCs w:val="32"/>
        </w:rPr>
        <w:t>2967.22万元，其中政府采购工程支出60万元，</w:t>
      </w:r>
      <w:r>
        <w:rPr>
          <w:rFonts w:hint="eastAsia" w:ascii="仿宋" w:hAnsi="仿宋" w:eastAsia="仿宋" w:cs="仿宋"/>
          <w:sz w:val="32"/>
        </w:rPr>
        <w:t>占政府采购支出总额的2.02%，</w:t>
      </w:r>
      <w:r>
        <w:rPr>
          <w:rFonts w:hint="eastAsia" w:ascii="仿宋" w:hAnsi="仿宋" w:eastAsia="仿宋" w:cs="仿宋"/>
          <w:sz w:val="32"/>
          <w:szCs w:val="32"/>
        </w:rPr>
        <w:t>政府采购服务支出2907.22万元，</w:t>
      </w:r>
      <w:r>
        <w:rPr>
          <w:rFonts w:hint="eastAsia" w:ascii="仿宋" w:hAnsi="仿宋" w:eastAsia="仿宋" w:cs="仿宋"/>
          <w:sz w:val="32"/>
        </w:rPr>
        <w:t>占政府采购支出总额的97.98%</w:t>
      </w:r>
      <w:r>
        <w:rPr>
          <w:rFonts w:hint="eastAsia" w:ascii="仿宋" w:hAnsi="仿宋" w:eastAsia="仿宋" w:cs="仿宋"/>
          <w:sz w:val="32"/>
          <w:lang w:eastAsia="zh-CN"/>
        </w:rPr>
        <w:t>。</w:t>
      </w:r>
      <w:bookmarkStart w:id="0" w:name="_GoBack"/>
      <w:bookmarkEnd w:id="0"/>
      <w:r>
        <w:rPr>
          <w:rFonts w:hint="eastAsia" w:ascii="仿宋" w:hAnsi="仿宋" w:eastAsia="仿宋" w:cs="仿宋"/>
          <w:color w:val="auto"/>
          <w:sz w:val="32"/>
          <w:szCs w:val="32"/>
          <w:lang w:eastAsia="zh-CN"/>
        </w:rPr>
        <w:t>其中：</w:t>
      </w:r>
      <w:r>
        <w:rPr>
          <w:rFonts w:hint="eastAsia" w:ascii="仿宋" w:hAnsi="仿宋" w:eastAsia="仿宋" w:cs="仿宋"/>
          <w:color w:val="auto"/>
          <w:sz w:val="32"/>
          <w:szCs w:val="32"/>
        </w:rPr>
        <w:t>中小企业的合同金额</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lang w:val="en-US" w:eastAsia="zh-CN"/>
        </w:rPr>
        <w:t>188..62</w:t>
      </w:r>
      <w:r>
        <w:rPr>
          <w:rFonts w:hint="eastAsia" w:ascii="仿宋" w:hAnsi="仿宋" w:eastAsia="仿宋" w:cs="仿宋"/>
          <w:color w:val="auto"/>
          <w:sz w:val="32"/>
          <w:szCs w:val="32"/>
          <w:lang w:eastAsia="zh-CN"/>
        </w:rPr>
        <w:t>万元，占</w:t>
      </w:r>
      <w:r>
        <w:rPr>
          <w:rFonts w:hint="eastAsia" w:ascii="仿宋" w:hAnsi="仿宋" w:eastAsia="仿宋" w:cs="仿宋"/>
          <w:color w:val="auto"/>
          <w:sz w:val="32"/>
          <w:szCs w:val="32"/>
        </w:rPr>
        <w:t>政府采购支出总额的</w:t>
      </w:r>
      <w:r>
        <w:rPr>
          <w:rFonts w:hint="eastAsia" w:ascii="仿宋" w:hAnsi="仿宋" w:eastAsia="仿宋" w:cs="仿宋"/>
          <w:color w:val="auto"/>
          <w:sz w:val="32"/>
          <w:szCs w:val="32"/>
          <w:lang w:val="en-US" w:eastAsia="zh-CN"/>
        </w:rPr>
        <w:t>6.36%。</w:t>
      </w:r>
    </w:p>
    <w:p>
      <w:pPr>
        <w:spacing w:line="600" w:lineRule="exact"/>
        <w:ind w:firstLine="640"/>
        <w:rPr>
          <w:rFonts w:ascii="仿宋" w:hAnsi="仿宋" w:eastAsia="仿宋" w:cs="Times New Roman"/>
          <w:sz w:val="32"/>
          <w:szCs w:val="32"/>
        </w:rPr>
      </w:pPr>
      <w:r>
        <w:rPr>
          <w:rFonts w:hint="eastAsia" w:ascii="仿宋" w:hAnsi="仿宋" w:eastAsia="仿宋" w:cs="楷体"/>
          <w:sz w:val="32"/>
          <w:szCs w:val="32"/>
        </w:rPr>
        <w:t>（四）国有资产占用情况</w:t>
      </w:r>
    </w:p>
    <w:p>
      <w:pPr>
        <w:spacing w:line="600" w:lineRule="exact"/>
        <w:ind w:firstLine="480" w:firstLineChars="150"/>
        <w:rPr>
          <w:rFonts w:ascii="仿宋" w:hAnsi="仿宋" w:eastAsia="仿宋" w:cs="仿宋"/>
          <w:sz w:val="32"/>
        </w:rPr>
      </w:pPr>
      <w:r>
        <w:rPr>
          <w:rFonts w:hint="eastAsia" w:ascii="仿宋" w:hAnsi="仿宋" w:eastAsia="仿宋" w:cs="楷体"/>
          <w:sz w:val="32"/>
          <w:szCs w:val="32"/>
        </w:rPr>
        <w:t>截止到</w:t>
      </w:r>
      <w:r>
        <w:rPr>
          <w:rFonts w:ascii="仿宋" w:hAnsi="仿宋" w:eastAsia="仿宋" w:cs="楷体"/>
          <w:sz w:val="32"/>
          <w:szCs w:val="32"/>
        </w:rPr>
        <w:t>201</w:t>
      </w:r>
      <w:r>
        <w:rPr>
          <w:rFonts w:hint="eastAsia" w:ascii="仿宋" w:hAnsi="仿宋" w:eastAsia="仿宋" w:cs="楷体"/>
          <w:sz w:val="32"/>
          <w:szCs w:val="32"/>
        </w:rPr>
        <w:t>9年12月31日，益阳市生态环境局（本级）</w:t>
      </w:r>
      <w:r>
        <w:rPr>
          <w:rFonts w:hint="eastAsia" w:ascii="仿宋" w:hAnsi="仿宋" w:eastAsia="仿宋" w:cs="仿宋"/>
          <w:sz w:val="32"/>
        </w:rPr>
        <w:t>共有车辆6辆，其中机要通信用车1辆、一般执法执勤用车4辆、特种专业技术用车1辆；单位价值</w:t>
      </w:r>
      <w:r>
        <w:rPr>
          <w:rFonts w:ascii="仿宋" w:hAnsi="仿宋" w:eastAsia="仿宋" w:cs="仿宋"/>
          <w:sz w:val="32"/>
        </w:rPr>
        <w:t>50</w:t>
      </w:r>
      <w:r>
        <w:rPr>
          <w:rFonts w:hint="eastAsia" w:ascii="仿宋" w:hAnsi="仿宋" w:eastAsia="仿宋" w:cs="仿宋"/>
          <w:sz w:val="32"/>
        </w:rPr>
        <w:t>万元以上通用设备1台</w:t>
      </w:r>
      <w:r>
        <w:rPr>
          <w:rFonts w:ascii="仿宋" w:hAnsi="仿宋" w:eastAsia="仿宋" w:cs="仿宋"/>
          <w:sz w:val="32"/>
        </w:rPr>
        <w:t>(</w:t>
      </w:r>
      <w:r>
        <w:rPr>
          <w:rFonts w:hint="eastAsia" w:ascii="仿宋" w:hAnsi="仿宋" w:eastAsia="仿宋" w:cs="仿宋"/>
          <w:sz w:val="32"/>
        </w:rPr>
        <w:t>套</w:t>
      </w:r>
      <w:r>
        <w:rPr>
          <w:rFonts w:ascii="仿宋" w:hAnsi="仿宋" w:eastAsia="仿宋" w:cs="仿宋"/>
          <w:sz w:val="32"/>
        </w:rPr>
        <w:t>)</w:t>
      </w:r>
      <w:r>
        <w:rPr>
          <w:rFonts w:hint="eastAsia" w:ascii="仿宋" w:hAnsi="仿宋" w:eastAsia="仿宋" w:cs="仿宋"/>
          <w:sz w:val="32"/>
        </w:rPr>
        <w:t>，单价</w:t>
      </w:r>
      <w:r>
        <w:rPr>
          <w:rFonts w:ascii="仿宋" w:hAnsi="仿宋" w:eastAsia="仿宋" w:cs="仿宋"/>
          <w:sz w:val="32"/>
        </w:rPr>
        <w:t>100</w:t>
      </w:r>
      <w:r>
        <w:rPr>
          <w:rFonts w:hint="eastAsia" w:ascii="仿宋" w:hAnsi="仿宋" w:eastAsia="仿宋" w:cs="仿宋"/>
          <w:sz w:val="32"/>
        </w:rPr>
        <w:t>万元以上专用设备1台。</w:t>
      </w:r>
    </w:p>
    <w:p>
      <w:pPr>
        <w:spacing w:line="600" w:lineRule="exact"/>
        <w:rPr>
          <w:rFonts w:ascii="仿宋" w:hAnsi="仿宋" w:eastAsia="仿宋" w:cs="仿宋"/>
          <w:sz w:val="32"/>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宋体"/>
          <w:sz w:val="44"/>
          <w:szCs w:val="44"/>
        </w:rPr>
      </w:pPr>
    </w:p>
    <w:p>
      <w:pPr>
        <w:ind w:firstLine="1980" w:firstLineChars="450"/>
        <w:rPr>
          <w:rFonts w:ascii="仿宋" w:hAnsi="仿宋" w:eastAsia="仿宋" w:cs="Times New Roman"/>
          <w:sz w:val="44"/>
          <w:szCs w:val="44"/>
        </w:rPr>
      </w:pPr>
      <w:r>
        <w:rPr>
          <w:rFonts w:hint="eastAsia" w:ascii="仿宋" w:hAnsi="仿宋" w:eastAsia="仿宋" w:cs="宋体"/>
          <w:sz w:val="44"/>
          <w:szCs w:val="44"/>
        </w:rPr>
        <w:t>第四部分</w:t>
      </w:r>
      <w:r>
        <w:rPr>
          <w:rFonts w:ascii="仿宋" w:hAnsi="仿宋" w:eastAsia="仿宋" w:cs="方正小标宋_GBK"/>
          <w:sz w:val="44"/>
          <w:szCs w:val="44"/>
        </w:rPr>
        <w:t xml:space="preserve"> </w:t>
      </w:r>
      <w:r>
        <w:rPr>
          <w:rFonts w:hint="eastAsia" w:ascii="仿宋" w:hAnsi="仿宋" w:eastAsia="仿宋" w:cs="宋体"/>
          <w:sz w:val="44"/>
          <w:szCs w:val="44"/>
        </w:rPr>
        <w:t>名词解释</w:t>
      </w:r>
    </w:p>
    <w:p>
      <w:pPr>
        <w:spacing w:line="560" w:lineRule="exact"/>
        <w:ind w:firstLine="643"/>
        <w:jc w:val="left"/>
        <w:rPr>
          <w:rFonts w:ascii="仿宋" w:hAnsi="仿宋" w:eastAsia="仿宋" w:cs="仿宋"/>
          <w:b/>
          <w:bCs/>
          <w:sz w:val="32"/>
          <w:szCs w:val="32"/>
        </w:rPr>
      </w:pPr>
    </w:p>
    <w:p>
      <w:pPr>
        <w:spacing w:line="560" w:lineRule="exact"/>
        <w:ind w:firstLine="643"/>
        <w:jc w:val="left"/>
        <w:rPr>
          <w:rFonts w:ascii="仿宋" w:hAnsi="仿宋" w:eastAsia="仿宋" w:cs="仿宋"/>
          <w:sz w:val="32"/>
          <w:szCs w:val="32"/>
        </w:rPr>
      </w:pPr>
      <w:r>
        <w:rPr>
          <w:rFonts w:hint="eastAsia" w:ascii="仿宋" w:hAnsi="仿宋" w:eastAsia="仿宋" w:cs="仿宋"/>
          <w:b/>
          <w:bCs/>
          <w:sz w:val="32"/>
          <w:szCs w:val="32"/>
        </w:rPr>
        <w:t>一、财政拨款收入：</w:t>
      </w:r>
      <w:r>
        <w:rPr>
          <w:rFonts w:hint="eastAsia" w:ascii="仿宋" w:hAnsi="仿宋" w:eastAsia="仿宋" w:cs="仿宋"/>
          <w:sz w:val="32"/>
          <w:szCs w:val="32"/>
        </w:rPr>
        <w:t>指中央财政当年拨付的资金。</w:t>
      </w:r>
      <w:r>
        <w:rPr>
          <w:rFonts w:ascii="仿宋" w:hAnsi="仿宋" w:eastAsia="仿宋" w:cs="仿宋"/>
          <w:sz w:val="32"/>
          <w:szCs w:val="32"/>
        </w:rPr>
        <w:t xml:space="preserve"> </w:t>
      </w:r>
    </w:p>
    <w:p>
      <w:pPr>
        <w:spacing w:line="560" w:lineRule="exact"/>
        <w:ind w:firstLine="643"/>
        <w:jc w:val="left"/>
        <w:rPr>
          <w:rFonts w:ascii="仿宋" w:hAnsi="仿宋" w:eastAsia="仿宋" w:cs="仿宋"/>
          <w:sz w:val="32"/>
          <w:szCs w:val="32"/>
        </w:rPr>
      </w:pPr>
      <w:r>
        <w:rPr>
          <w:rFonts w:hint="eastAsia" w:ascii="仿宋" w:hAnsi="仿宋" w:eastAsia="仿宋" w:cs="仿宋"/>
          <w:b/>
          <w:bCs/>
          <w:sz w:val="32"/>
          <w:szCs w:val="32"/>
        </w:rPr>
        <w:t>二、事业收入：</w:t>
      </w:r>
      <w:r>
        <w:rPr>
          <w:rFonts w:hint="eastAsia" w:ascii="仿宋" w:hAnsi="仿宋" w:eastAsia="仿宋" w:cs="仿宋"/>
          <w:sz w:val="32"/>
          <w:szCs w:val="32"/>
        </w:rPr>
        <w:t>指事业单位开展专业业务活动及辅助活动所取得的收入。如：中国财政杂志社的刊物发行收入，中国注册会计师协会、中国资产评估协会、中国国债协会、中国会计学会收取的会费收入等。</w:t>
      </w:r>
      <w:r>
        <w:rPr>
          <w:rFonts w:ascii="仿宋" w:hAnsi="仿宋" w:eastAsia="仿宋" w:cs="仿宋"/>
          <w:sz w:val="32"/>
          <w:szCs w:val="32"/>
        </w:rPr>
        <w:t xml:space="preserve"> </w:t>
      </w:r>
    </w:p>
    <w:p>
      <w:pPr>
        <w:spacing w:line="560" w:lineRule="exact"/>
        <w:ind w:firstLine="643"/>
        <w:jc w:val="left"/>
        <w:rPr>
          <w:rFonts w:ascii="仿宋" w:hAnsi="仿宋" w:eastAsia="仿宋" w:cs="仿宋"/>
          <w:sz w:val="32"/>
          <w:szCs w:val="32"/>
        </w:rPr>
      </w:pPr>
      <w:r>
        <w:rPr>
          <w:rFonts w:hint="eastAsia" w:ascii="仿宋" w:hAnsi="仿宋" w:eastAsia="仿宋" w:cs="仿宋"/>
          <w:b/>
          <w:bCs/>
          <w:sz w:val="32"/>
          <w:szCs w:val="32"/>
        </w:rPr>
        <w:t>三、经营收入：</w:t>
      </w:r>
      <w:r>
        <w:rPr>
          <w:rFonts w:hint="eastAsia" w:ascii="仿宋" w:hAnsi="仿宋" w:eastAsia="仿宋" w:cs="仿宋"/>
          <w:sz w:val="32"/>
          <w:szCs w:val="32"/>
        </w:rPr>
        <w:t>指事业单位在专业业务活动及其辅助活动之外开展非独立核算经营活动取得的收入。如：中国财政杂志社广告收入等。</w:t>
      </w:r>
      <w:r>
        <w:rPr>
          <w:rFonts w:ascii="仿宋" w:hAnsi="仿宋" w:eastAsia="仿宋" w:cs="仿宋"/>
          <w:sz w:val="32"/>
          <w:szCs w:val="32"/>
        </w:rPr>
        <w:t xml:space="preserve"> </w:t>
      </w:r>
    </w:p>
    <w:p>
      <w:pPr>
        <w:spacing w:line="560" w:lineRule="exact"/>
        <w:ind w:firstLine="643"/>
        <w:jc w:val="left"/>
        <w:rPr>
          <w:rFonts w:ascii="仿宋" w:hAnsi="仿宋" w:eastAsia="仿宋" w:cs="仿宋"/>
          <w:sz w:val="32"/>
          <w:szCs w:val="32"/>
        </w:rPr>
      </w:pPr>
      <w:r>
        <w:rPr>
          <w:rFonts w:hint="eastAsia" w:ascii="仿宋" w:hAnsi="仿宋" w:eastAsia="仿宋" w:cs="仿宋"/>
          <w:b/>
          <w:bCs/>
          <w:sz w:val="32"/>
          <w:szCs w:val="32"/>
        </w:rPr>
        <w:t>四、其他收入：</w:t>
      </w:r>
      <w:r>
        <w:rPr>
          <w:rFonts w:hint="eastAsia" w:ascii="仿宋" w:hAnsi="仿宋" w:eastAsia="仿宋" w:cs="仿宋"/>
          <w:sz w:val="32"/>
          <w:szCs w:val="32"/>
        </w:rPr>
        <w:t>指除上述“财政拨款收入”</w:t>
      </w:r>
      <w:r>
        <w:rPr>
          <w:rFonts w:ascii="仿宋" w:hAnsi="仿宋" w:eastAsia="仿宋" w:cs="仿宋"/>
          <w:sz w:val="32"/>
          <w:szCs w:val="32"/>
        </w:rPr>
        <w:t xml:space="preserve"> </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“事业收入”</w:t>
      </w:r>
      <w:r>
        <w:rPr>
          <w:rFonts w:ascii="仿宋" w:hAnsi="仿宋" w:eastAsia="仿宋" w:cs="仿宋"/>
          <w:sz w:val="32"/>
          <w:szCs w:val="32"/>
        </w:rPr>
        <w:t xml:space="preserve"> </w:t>
      </w:r>
      <w:r>
        <w:rPr>
          <w:rFonts w:hint="eastAsia" w:ascii="仿宋" w:hAnsi="仿宋" w:eastAsia="仿宋" w:cs="仿宋"/>
          <w:sz w:val="32"/>
          <w:szCs w:val="32"/>
        </w:rPr>
        <w:t>、“经营收入”等以外的收入。主要是按规定动用的售房收入、存款利息收入等。</w:t>
      </w:r>
      <w:r>
        <w:rPr>
          <w:rFonts w:ascii="仿宋" w:hAnsi="仿宋" w:eastAsia="仿宋" w:cs="仿宋"/>
          <w:sz w:val="32"/>
          <w:szCs w:val="32"/>
        </w:rPr>
        <w:t xml:space="preserve"> </w:t>
      </w:r>
    </w:p>
    <w:p>
      <w:pPr>
        <w:spacing w:line="560" w:lineRule="exact"/>
        <w:ind w:firstLine="643"/>
        <w:jc w:val="left"/>
        <w:rPr>
          <w:rFonts w:ascii="仿宋" w:hAnsi="仿宋" w:eastAsia="仿宋" w:cs="仿宋"/>
          <w:sz w:val="32"/>
          <w:szCs w:val="32"/>
        </w:rPr>
      </w:pPr>
      <w:r>
        <w:rPr>
          <w:rFonts w:hint="eastAsia" w:ascii="仿宋" w:hAnsi="仿宋" w:eastAsia="仿宋" w:cs="仿宋"/>
          <w:b/>
          <w:bCs/>
          <w:sz w:val="32"/>
          <w:szCs w:val="32"/>
        </w:rPr>
        <w:t>五、用事业基金弥补收支差额：</w:t>
      </w:r>
      <w:r>
        <w:rPr>
          <w:rFonts w:hint="eastAsia" w:ascii="仿宋" w:hAnsi="仿宋" w:eastAsia="仿宋" w:cs="仿宋"/>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hAnsi="仿宋" w:eastAsia="仿宋" w:cs="仿宋"/>
          <w:sz w:val="32"/>
          <w:szCs w:val="32"/>
        </w:rPr>
        <w:t xml:space="preserve"> </w:t>
      </w:r>
    </w:p>
    <w:p>
      <w:pPr>
        <w:spacing w:line="560" w:lineRule="exact"/>
        <w:ind w:firstLine="643"/>
        <w:jc w:val="left"/>
        <w:rPr>
          <w:rFonts w:ascii="仿宋" w:hAnsi="仿宋" w:eastAsia="仿宋" w:cs="仿宋"/>
          <w:sz w:val="32"/>
          <w:szCs w:val="32"/>
        </w:rPr>
      </w:pPr>
      <w:r>
        <w:rPr>
          <w:rFonts w:hint="eastAsia" w:ascii="仿宋" w:hAnsi="仿宋" w:eastAsia="仿宋" w:cs="仿宋"/>
          <w:b/>
          <w:bCs/>
          <w:sz w:val="32"/>
          <w:szCs w:val="32"/>
        </w:rPr>
        <w:t>六、年初结转和结余：</w:t>
      </w:r>
      <w:r>
        <w:rPr>
          <w:rFonts w:hint="eastAsia" w:ascii="仿宋" w:hAnsi="仿宋" w:eastAsia="仿宋" w:cs="仿宋"/>
          <w:sz w:val="32"/>
          <w:szCs w:val="32"/>
        </w:rPr>
        <w:t>指以前年度尚未完成、结转到本年按有关规定继续使用的资金。</w:t>
      </w:r>
      <w:r>
        <w:rPr>
          <w:rFonts w:ascii="仿宋" w:hAnsi="仿宋" w:eastAsia="仿宋" w:cs="仿宋"/>
          <w:sz w:val="32"/>
          <w:szCs w:val="32"/>
        </w:rPr>
        <w:t xml:space="preserve"> </w:t>
      </w:r>
    </w:p>
    <w:p>
      <w:pPr>
        <w:spacing w:line="560" w:lineRule="exact"/>
        <w:ind w:firstLine="643"/>
        <w:jc w:val="left"/>
        <w:rPr>
          <w:rFonts w:ascii="仿宋" w:hAnsi="仿宋" w:eastAsia="仿宋" w:cs="Times New Roman"/>
          <w:sz w:val="32"/>
          <w:szCs w:val="32"/>
        </w:rPr>
      </w:pPr>
      <w:r>
        <w:rPr>
          <w:rFonts w:hint="eastAsia" w:ascii="仿宋" w:hAnsi="仿宋" w:eastAsia="仿宋" w:cs="仿宋"/>
          <w:b/>
          <w:bCs/>
          <w:sz w:val="32"/>
          <w:szCs w:val="32"/>
        </w:rPr>
        <w:t>七、结余分配：</w:t>
      </w:r>
      <w:r>
        <w:rPr>
          <w:rFonts w:hint="eastAsia" w:ascii="仿宋" w:hAnsi="仿宋" w:eastAsia="仿宋" w:cs="仿宋"/>
          <w:sz w:val="32"/>
          <w:szCs w:val="32"/>
        </w:rPr>
        <w:t>指事业单位按规定提取的职工福利基金、事业基金和缴纳的所得税，以及建设单位按规定应交回的基本建设竣工项目结余资金。</w:t>
      </w:r>
    </w:p>
    <w:p>
      <w:pPr>
        <w:spacing w:line="560" w:lineRule="exact"/>
        <w:ind w:firstLine="643"/>
        <w:jc w:val="left"/>
        <w:rPr>
          <w:rFonts w:ascii="仿宋" w:hAnsi="仿宋" w:eastAsia="仿宋" w:cs="仿宋"/>
          <w:sz w:val="32"/>
          <w:szCs w:val="32"/>
        </w:rPr>
      </w:pPr>
      <w:r>
        <w:rPr>
          <w:rFonts w:hint="eastAsia" w:ascii="仿宋" w:hAnsi="仿宋" w:eastAsia="仿宋" w:cs="仿宋"/>
          <w:b/>
          <w:bCs/>
          <w:sz w:val="32"/>
          <w:szCs w:val="32"/>
        </w:rPr>
        <w:t>八、年末结转和结余：</w:t>
      </w:r>
      <w:r>
        <w:rPr>
          <w:rFonts w:hint="eastAsia" w:ascii="仿宋" w:hAnsi="仿宋" w:eastAsia="仿宋" w:cs="仿宋"/>
          <w:sz w:val="32"/>
          <w:szCs w:val="32"/>
        </w:rPr>
        <w:t>指本年度或以前年度预算安排、因客观条件发生变化无法按原计划实施，需要延迟到以后年度按有关规定继续使用的资金。</w:t>
      </w:r>
      <w:r>
        <w:rPr>
          <w:rFonts w:ascii="仿宋" w:hAnsi="仿宋" w:eastAsia="仿宋" w:cs="仿宋"/>
          <w:sz w:val="32"/>
          <w:szCs w:val="32"/>
        </w:rPr>
        <w:t xml:space="preserve"> </w:t>
      </w:r>
    </w:p>
    <w:p>
      <w:pPr>
        <w:spacing w:line="560" w:lineRule="exact"/>
        <w:ind w:firstLine="643"/>
        <w:jc w:val="left"/>
        <w:rPr>
          <w:rFonts w:ascii="仿宋" w:hAnsi="仿宋" w:eastAsia="仿宋" w:cs="Times New Roman"/>
          <w:sz w:val="32"/>
          <w:szCs w:val="32"/>
        </w:rPr>
      </w:pPr>
      <w:r>
        <w:rPr>
          <w:rFonts w:hint="eastAsia" w:ascii="仿宋" w:hAnsi="仿宋" w:eastAsia="仿宋" w:cs="仿宋"/>
          <w:b/>
          <w:bCs/>
          <w:sz w:val="32"/>
          <w:szCs w:val="32"/>
        </w:rPr>
        <w:t>九、基本支出：</w:t>
      </w:r>
      <w:r>
        <w:rPr>
          <w:rFonts w:hint="eastAsia" w:ascii="仿宋" w:hAnsi="仿宋" w:eastAsia="仿宋" w:cs="仿宋"/>
          <w:sz w:val="32"/>
          <w:szCs w:val="32"/>
        </w:rPr>
        <w:t>指为保障机构正常运转、完成日常工</w:t>
      </w:r>
    </w:p>
    <w:p>
      <w:pPr>
        <w:spacing w:line="560" w:lineRule="exact"/>
        <w:jc w:val="left"/>
        <w:rPr>
          <w:rFonts w:ascii="仿宋" w:hAnsi="仿宋" w:eastAsia="仿宋" w:cs="仿宋"/>
          <w:sz w:val="32"/>
          <w:szCs w:val="32"/>
        </w:rPr>
      </w:pPr>
      <w:r>
        <w:rPr>
          <w:rFonts w:hint="eastAsia" w:ascii="仿宋" w:hAnsi="仿宋" w:eastAsia="仿宋" w:cs="仿宋"/>
          <w:sz w:val="32"/>
          <w:szCs w:val="32"/>
        </w:rPr>
        <w:t>作任务而发生的人员支出和公用支出。</w:t>
      </w:r>
      <w:r>
        <w:rPr>
          <w:rFonts w:ascii="仿宋" w:hAnsi="仿宋" w:eastAsia="仿宋" w:cs="仿宋"/>
          <w:sz w:val="32"/>
          <w:szCs w:val="32"/>
        </w:rPr>
        <w:t xml:space="preserve"> </w:t>
      </w:r>
    </w:p>
    <w:p>
      <w:pPr>
        <w:spacing w:line="560" w:lineRule="exact"/>
        <w:ind w:firstLine="643"/>
        <w:jc w:val="left"/>
        <w:rPr>
          <w:rFonts w:ascii="仿宋" w:hAnsi="仿宋" w:eastAsia="仿宋" w:cs="仿宋"/>
          <w:sz w:val="32"/>
          <w:szCs w:val="32"/>
        </w:rPr>
      </w:pPr>
      <w:r>
        <w:rPr>
          <w:rFonts w:hint="eastAsia" w:ascii="仿宋" w:hAnsi="仿宋" w:eastAsia="仿宋" w:cs="仿宋"/>
          <w:b/>
          <w:bCs/>
          <w:sz w:val="32"/>
          <w:szCs w:val="32"/>
        </w:rPr>
        <w:t>十、项目支出：</w:t>
      </w:r>
      <w:r>
        <w:rPr>
          <w:rFonts w:hint="eastAsia" w:ascii="仿宋" w:hAnsi="仿宋" w:eastAsia="仿宋" w:cs="仿宋"/>
          <w:sz w:val="32"/>
          <w:szCs w:val="32"/>
        </w:rPr>
        <w:t>指在基本支出之外为完成特定行政任务和事业发展目标所发生的支出。</w:t>
      </w:r>
      <w:r>
        <w:rPr>
          <w:rFonts w:ascii="仿宋" w:hAnsi="仿宋" w:eastAsia="仿宋" w:cs="仿宋"/>
          <w:sz w:val="32"/>
          <w:szCs w:val="32"/>
        </w:rPr>
        <w:t xml:space="preserve"> </w:t>
      </w:r>
    </w:p>
    <w:p>
      <w:pPr>
        <w:spacing w:line="560" w:lineRule="exact"/>
        <w:ind w:firstLine="643"/>
        <w:jc w:val="left"/>
        <w:rPr>
          <w:rFonts w:ascii="仿宋" w:hAnsi="仿宋" w:eastAsia="仿宋" w:cs="仿宋"/>
          <w:sz w:val="32"/>
          <w:szCs w:val="32"/>
        </w:rPr>
      </w:pPr>
      <w:r>
        <w:rPr>
          <w:rFonts w:hint="eastAsia" w:ascii="仿宋" w:hAnsi="仿宋" w:eastAsia="仿宋" w:cs="仿宋"/>
          <w:b/>
          <w:bCs/>
          <w:sz w:val="32"/>
          <w:szCs w:val="32"/>
        </w:rPr>
        <w:t>十一、经营支出：</w:t>
      </w:r>
      <w:r>
        <w:rPr>
          <w:rFonts w:hint="eastAsia" w:ascii="仿宋" w:hAnsi="仿宋" w:eastAsia="仿宋" w:cs="仿宋"/>
          <w:sz w:val="32"/>
          <w:szCs w:val="32"/>
        </w:rPr>
        <w:t>指事业单位在专业业务活动及其辅助活动之外开展非独立核算经营活动发生的支出。</w:t>
      </w:r>
      <w:r>
        <w:rPr>
          <w:rFonts w:ascii="仿宋" w:hAnsi="仿宋" w:eastAsia="仿宋" w:cs="仿宋"/>
          <w:sz w:val="32"/>
          <w:szCs w:val="32"/>
        </w:rPr>
        <w:t xml:space="preserve"> </w:t>
      </w:r>
    </w:p>
    <w:p>
      <w:pPr>
        <w:spacing w:line="560" w:lineRule="exact"/>
        <w:ind w:firstLine="643"/>
        <w:jc w:val="left"/>
        <w:rPr>
          <w:rFonts w:ascii="仿宋" w:hAnsi="仿宋" w:eastAsia="仿宋" w:cs="仿宋"/>
          <w:sz w:val="32"/>
          <w:szCs w:val="32"/>
        </w:rPr>
      </w:pPr>
      <w:r>
        <w:rPr>
          <w:rFonts w:hint="eastAsia" w:ascii="仿宋" w:hAnsi="仿宋" w:eastAsia="仿宋" w:cs="仿宋"/>
          <w:b/>
          <w:bCs/>
          <w:sz w:val="32"/>
          <w:szCs w:val="32"/>
        </w:rPr>
        <w:t>十二、“三公”经费：</w:t>
      </w:r>
      <w:r>
        <w:rPr>
          <w:rFonts w:hint="eastAsia" w:ascii="仿宋" w:hAnsi="仿宋" w:eastAsia="仿宋" w:cs="仿宋"/>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 w:hAnsi="仿宋" w:eastAsia="仿宋" w:cs="仿宋"/>
          <w:sz w:val="32"/>
          <w:szCs w:val="32"/>
        </w:rPr>
        <w:t xml:space="preserve"> </w:t>
      </w:r>
    </w:p>
    <w:p>
      <w:pPr>
        <w:spacing w:line="560" w:lineRule="exact"/>
        <w:ind w:firstLine="643"/>
        <w:jc w:val="left"/>
        <w:rPr>
          <w:rFonts w:ascii="仿宋" w:hAnsi="仿宋" w:eastAsia="仿宋" w:cs="Times New Roman"/>
          <w:sz w:val="32"/>
          <w:szCs w:val="32"/>
        </w:rPr>
      </w:pPr>
      <w:r>
        <w:rPr>
          <w:rFonts w:hint="eastAsia" w:ascii="仿宋" w:hAnsi="仿宋" w:eastAsia="仿宋" w:cs="仿宋"/>
          <w:b/>
          <w:bCs/>
          <w:sz w:val="32"/>
          <w:szCs w:val="32"/>
        </w:rPr>
        <w:t>十三、机关运行经费：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2420" w:firstLineChars="550"/>
        <w:rPr>
          <w:rFonts w:hint="eastAsia" w:ascii="仿宋" w:hAnsi="仿宋" w:eastAsia="仿宋" w:cs="Times New Roman"/>
          <w:sz w:val="44"/>
          <w:szCs w:val="44"/>
        </w:rPr>
      </w:pPr>
      <w:r>
        <w:rPr>
          <w:rFonts w:hint="eastAsia" w:ascii="仿宋" w:hAnsi="仿宋" w:eastAsia="仿宋" w:cs="Times New Roman"/>
          <w:sz w:val="44"/>
          <w:szCs w:val="44"/>
        </w:rPr>
        <w:t>第五部分  附件</w:t>
      </w:r>
    </w:p>
    <w:p>
      <w:pPr>
        <w:ind w:firstLine="2420" w:firstLineChars="550"/>
        <w:rPr>
          <w:rFonts w:ascii="仿宋" w:hAnsi="仿宋" w:eastAsia="仿宋" w:cs="Times New Roman"/>
          <w:sz w:val="44"/>
          <w:szCs w:val="44"/>
        </w:rPr>
      </w:pPr>
    </w:p>
    <w:tbl>
      <w:tblPr>
        <w:tblStyle w:val="7"/>
        <w:tblW w:w="0" w:type="auto"/>
        <w:jc w:val="center"/>
        <w:tblLayout w:type="autofit"/>
        <w:tblCellMar>
          <w:top w:w="15" w:type="dxa"/>
          <w:left w:w="15" w:type="dxa"/>
          <w:bottom w:w="15" w:type="dxa"/>
          <w:right w:w="15" w:type="dxa"/>
        </w:tblCellMar>
      </w:tblPr>
      <w:tblGrid>
        <w:gridCol w:w="7620"/>
      </w:tblGrid>
      <w:tr>
        <w:tblPrEx>
          <w:tblCellMar>
            <w:top w:w="15" w:type="dxa"/>
            <w:left w:w="15" w:type="dxa"/>
            <w:bottom w:w="15" w:type="dxa"/>
            <w:right w:w="15" w:type="dxa"/>
          </w:tblCellMar>
        </w:tblPrEx>
        <w:trPr>
          <w:trHeight w:val="450" w:hRule="atLeast"/>
          <w:jc w:val="center"/>
        </w:trPr>
        <w:tc>
          <w:tcPr>
            <w:tcW w:w="0" w:type="auto"/>
            <w:shd w:val="clear" w:color="auto" w:fill="auto"/>
            <w:vAlign w:val="center"/>
          </w:tcPr>
          <w:p>
            <w:pPr>
              <w:widowControl/>
              <w:spacing w:line="450" w:lineRule="atLeast"/>
              <w:jc w:val="left"/>
              <w:rPr>
                <w:rFonts w:ascii="宋体" w:hAnsi="宋体" w:cs="宋体"/>
                <w:b/>
                <w:kern w:val="0"/>
                <w:sz w:val="27"/>
                <w:szCs w:val="27"/>
              </w:rPr>
            </w:pPr>
            <w:r>
              <w:rPr>
                <w:rFonts w:hint="eastAsia" w:ascii="宋体" w:hAnsi="宋体" w:cs="宋体"/>
                <w:b/>
                <w:kern w:val="0"/>
                <w:sz w:val="27"/>
                <w:szCs w:val="27"/>
              </w:rPr>
              <w:t>《</w:t>
            </w:r>
            <w:r>
              <w:rPr>
                <w:rFonts w:ascii="宋体" w:hAnsi="宋体" w:cs="宋体"/>
                <w:b/>
                <w:kern w:val="0"/>
                <w:sz w:val="27"/>
                <w:szCs w:val="27"/>
              </w:rPr>
              <w:t>益阳市生态环境局大通湖水环境治理项目支出绩效评价报</w:t>
            </w:r>
            <w:r>
              <w:rPr>
                <w:rFonts w:hint="eastAsia" w:ascii="宋体" w:hAnsi="宋体" w:cs="宋体"/>
                <w:b/>
                <w:kern w:val="0"/>
                <w:sz w:val="27"/>
                <w:szCs w:val="27"/>
              </w:rPr>
              <w:t>告》</w:t>
            </w:r>
          </w:p>
        </w:tc>
      </w:tr>
      <w:tr>
        <w:tblPrEx>
          <w:tblCellMar>
            <w:top w:w="15" w:type="dxa"/>
            <w:left w:w="15" w:type="dxa"/>
            <w:bottom w:w="15" w:type="dxa"/>
            <w:right w:w="15" w:type="dxa"/>
          </w:tblCellMar>
        </w:tblPrEx>
        <w:trPr>
          <w:trHeight w:val="150" w:hRule="atLeast"/>
          <w:jc w:val="center"/>
        </w:trPr>
        <w:tc>
          <w:tcPr>
            <w:tcW w:w="0" w:type="auto"/>
            <w:shd w:val="clear" w:color="auto" w:fill="auto"/>
            <w:vAlign w:val="center"/>
          </w:tcPr>
          <w:p>
            <w:pPr>
              <w:widowControl/>
              <w:jc w:val="left"/>
              <w:rPr>
                <w:rFonts w:ascii="宋体" w:hAnsi="宋体" w:cs="宋体"/>
                <w:kern w:val="0"/>
                <w:sz w:val="16"/>
                <w:szCs w:val="18"/>
              </w:rPr>
            </w:pPr>
          </w:p>
        </w:tc>
      </w:tr>
    </w:tbl>
    <w:p>
      <w:pPr>
        <w:widowControl/>
        <w:spacing w:line="500" w:lineRule="exact"/>
        <w:ind w:firstLine="480"/>
        <w:rPr>
          <w:rFonts w:ascii="宋体" w:hAnsi="宋体" w:cs="宋体"/>
          <w:color w:val="2B2B2B"/>
          <w:kern w:val="0"/>
        </w:rPr>
      </w:pPr>
      <w:r>
        <w:rPr>
          <w:rFonts w:hint="eastAsia" w:ascii="宋体" w:hAnsi="宋体" w:cs="宋体"/>
          <w:color w:val="2B2B2B"/>
          <w:kern w:val="0"/>
        </w:rPr>
        <w:t>一、项目基本情况</w:t>
      </w:r>
    </w:p>
    <w:p>
      <w:pPr>
        <w:widowControl/>
        <w:spacing w:line="500" w:lineRule="exact"/>
        <w:ind w:firstLine="480"/>
        <w:rPr>
          <w:rFonts w:ascii="宋体" w:hAnsi="宋体" w:cs="宋体"/>
          <w:color w:val="2B2B2B"/>
          <w:kern w:val="0"/>
        </w:rPr>
      </w:pPr>
      <w:r>
        <w:rPr>
          <w:rFonts w:hint="eastAsia" w:ascii="宋体" w:hAnsi="宋体" w:cs="宋体"/>
          <w:color w:val="2B2B2B"/>
          <w:kern w:val="0"/>
        </w:rPr>
        <w:t>《大通湖流域水环境治理1000万专项资金奖补分配方案》中做了如下分配：南县重点项目290万元，大通湖区重点项目230万元，沅江市重点项目100万元，水生植被恢复期生态监测评估与恢复后生态系统调控评估200万元，每月对考核断面进行水质监测80万元，对任务完成较好的单位奖励100万元。</w:t>
      </w:r>
    </w:p>
    <w:p>
      <w:pPr>
        <w:widowControl/>
        <w:spacing w:line="500" w:lineRule="exact"/>
        <w:ind w:firstLine="480"/>
        <w:rPr>
          <w:rFonts w:ascii="宋体" w:hAnsi="宋体" w:cs="宋体"/>
          <w:color w:val="2B2B2B"/>
          <w:kern w:val="0"/>
        </w:rPr>
      </w:pPr>
      <w:r>
        <w:rPr>
          <w:rFonts w:hint="eastAsia" w:ascii="宋体" w:hAnsi="宋体" w:cs="宋体"/>
          <w:color w:val="2B2B2B"/>
          <w:kern w:val="0"/>
        </w:rPr>
        <w:t>其中，市财政在重点项目预算安排市生态环境局600万元生态补偿资金中有300万元用于大通湖水环境治理，一是水生植被恢复期生态监测评估与恢复后生态系统调控评估200万元，用于对大通湖植被恢复工程对水质影响开展3期水文、水质、底质、水生态同步监测，构建大通湖植被恢复期监测评估体系，对截污控源、生态恢复修复、湖滨带整治、水系连通等重点工程综合整治工作成效、水质改善效果以及社会经济与环境效益提出主要结论和建设性意见。二是对任务完成较好的单位奖励100万元。</w:t>
      </w:r>
    </w:p>
    <w:p>
      <w:pPr>
        <w:widowControl/>
        <w:spacing w:line="500" w:lineRule="exact"/>
        <w:ind w:firstLine="480"/>
        <w:rPr>
          <w:rFonts w:ascii="宋体" w:hAnsi="宋体" w:cs="宋体"/>
          <w:color w:val="2B2B2B"/>
          <w:kern w:val="0"/>
        </w:rPr>
      </w:pPr>
      <w:r>
        <w:rPr>
          <w:rFonts w:hint="eastAsia" w:ascii="宋体" w:hAnsi="宋体" w:cs="宋体"/>
          <w:color w:val="2B2B2B"/>
          <w:kern w:val="0"/>
        </w:rPr>
        <w:t>目前水生植被恢复期生态监测评估与恢复后生态系统调控评估项目已完成评估报告的初稿，预计五月份中旬进行专家评审。已完成了大通湖水质达标状况、工程效益资金比、工程进度的评估，提出了大通湖大型水生植物适宜生物量调控方案和大通湖生态系统结构与功能调控方案。对任务完成较好的单位奖励100万元目前暂未进行分配。</w:t>
      </w:r>
    </w:p>
    <w:p>
      <w:pPr>
        <w:widowControl/>
        <w:spacing w:line="500" w:lineRule="exact"/>
        <w:ind w:firstLine="480"/>
        <w:rPr>
          <w:rFonts w:ascii="宋体" w:hAnsi="宋体" w:cs="宋体"/>
          <w:color w:val="2B2B2B"/>
          <w:kern w:val="0"/>
        </w:rPr>
      </w:pPr>
      <w:r>
        <w:rPr>
          <w:rFonts w:hint="eastAsia" w:ascii="宋体" w:hAnsi="宋体" w:cs="宋体"/>
          <w:color w:val="2B2B2B"/>
          <w:kern w:val="0"/>
        </w:rPr>
        <w:t>二、绩效评价工作情况</w:t>
      </w:r>
    </w:p>
    <w:p>
      <w:pPr>
        <w:widowControl/>
        <w:spacing w:line="500" w:lineRule="exact"/>
        <w:ind w:firstLine="480"/>
        <w:rPr>
          <w:rFonts w:ascii="宋体" w:hAnsi="宋体" w:cs="宋体"/>
          <w:color w:val="2B2B2B"/>
          <w:kern w:val="0"/>
        </w:rPr>
      </w:pPr>
      <w:r>
        <w:rPr>
          <w:rFonts w:hint="eastAsia" w:ascii="宋体" w:hAnsi="宋体" w:cs="宋体"/>
          <w:color w:val="2B2B2B"/>
          <w:kern w:val="0"/>
        </w:rPr>
        <w:t>（一）项目资金情况：调控方案的中标总价格198万元，已拨付79.2万元，还剩118.8万元。按照合同要求，通过专家评审再付清余款。</w:t>
      </w:r>
    </w:p>
    <w:p>
      <w:pPr>
        <w:widowControl/>
        <w:spacing w:line="500" w:lineRule="exact"/>
        <w:ind w:firstLine="480"/>
        <w:rPr>
          <w:rFonts w:ascii="宋体" w:hAnsi="宋体" w:cs="宋体"/>
          <w:color w:val="2B2B2B"/>
          <w:kern w:val="0"/>
        </w:rPr>
      </w:pPr>
      <w:r>
        <w:rPr>
          <w:rFonts w:hint="eastAsia" w:ascii="宋体" w:hAnsi="宋体" w:cs="宋体"/>
          <w:color w:val="2B2B2B"/>
          <w:kern w:val="0"/>
        </w:rPr>
        <w:t>对任务完成较好的单位奖励100万元资金，因暂未进行分配，还未使用。</w:t>
      </w:r>
    </w:p>
    <w:p>
      <w:pPr>
        <w:widowControl/>
        <w:spacing w:line="500" w:lineRule="exact"/>
        <w:ind w:firstLine="480"/>
        <w:rPr>
          <w:rFonts w:ascii="宋体" w:hAnsi="宋体" w:cs="宋体"/>
          <w:color w:val="2B2B2B"/>
          <w:kern w:val="0"/>
        </w:rPr>
      </w:pPr>
      <w:r>
        <w:rPr>
          <w:rFonts w:hint="eastAsia" w:ascii="宋体" w:hAnsi="宋体" w:cs="宋体"/>
          <w:color w:val="2B2B2B"/>
          <w:kern w:val="0"/>
        </w:rPr>
        <w:t>（二）项目组织情况：招标文件委托湖南科力招标代理有限公司编制，进行了公开招投标，由中国环境科学研究院与湖南科博检测技术有限公司组成的联合体中标（中标编号：KL-2019ZC-42）.</w:t>
      </w:r>
    </w:p>
    <w:p>
      <w:pPr>
        <w:widowControl/>
        <w:spacing w:line="500" w:lineRule="exact"/>
        <w:ind w:firstLine="480"/>
        <w:rPr>
          <w:rFonts w:ascii="宋体" w:hAnsi="宋体" w:cs="宋体"/>
          <w:color w:val="2B2B2B"/>
          <w:kern w:val="0"/>
        </w:rPr>
      </w:pPr>
      <w:r>
        <w:rPr>
          <w:rFonts w:hint="eastAsia" w:ascii="宋体" w:hAnsi="宋体" w:cs="宋体"/>
          <w:color w:val="2B2B2B"/>
          <w:kern w:val="0"/>
        </w:rPr>
        <w:t>（三）项目管理情况：严格执行相关财务制度，确保资金管理制度化、规范化。</w:t>
      </w:r>
    </w:p>
    <w:p>
      <w:pPr>
        <w:widowControl/>
        <w:spacing w:line="500" w:lineRule="exact"/>
        <w:ind w:firstLine="480"/>
        <w:rPr>
          <w:rFonts w:ascii="宋体" w:hAnsi="宋体" w:cs="宋体"/>
          <w:color w:val="2B2B2B"/>
          <w:kern w:val="0"/>
        </w:rPr>
      </w:pPr>
      <w:r>
        <w:rPr>
          <w:rFonts w:hint="eastAsia" w:ascii="宋体" w:hAnsi="宋体" w:cs="宋体"/>
          <w:color w:val="2B2B2B"/>
          <w:kern w:val="0"/>
        </w:rPr>
        <w:t>三、项目绩效情况</w:t>
      </w:r>
    </w:p>
    <w:p>
      <w:pPr>
        <w:widowControl/>
        <w:spacing w:line="500" w:lineRule="exact"/>
        <w:ind w:firstLine="480"/>
        <w:rPr>
          <w:rFonts w:ascii="宋体" w:hAnsi="宋体" w:cs="宋体"/>
          <w:color w:val="2B2B2B"/>
          <w:kern w:val="0"/>
        </w:rPr>
      </w:pPr>
      <w:r>
        <w:rPr>
          <w:rFonts w:hint="eastAsia" w:ascii="宋体" w:hAnsi="宋体" w:cs="宋体"/>
          <w:color w:val="2B2B2B"/>
          <w:kern w:val="0"/>
        </w:rPr>
        <w:t>（一）项目绩效目标完成情况分析</w:t>
      </w:r>
    </w:p>
    <w:p>
      <w:pPr>
        <w:widowControl/>
        <w:spacing w:line="500" w:lineRule="exact"/>
        <w:ind w:firstLine="480"/>
        <w:rPr>
          <w:rFonts w:ascii="宋体" w:hAnsi="宋体" w:cs="宋体"/>
          <w:color w:val="2B2B2B"/>
          <w:kern w:val="0"/>
        </w:rPr>
      </w:pPr>
      <w:r>
        <w:rPr>
          <w:rFonts w:hint="eastAsia" w:ascii="宋体" w:hAnsi="宋体" w:cs="宋体"/>
          <w:color w:val="2B2B2B"/>
          <w:kern w:val="0"/>
        </w:rPr>
        <w:t>1、项目的经济性分析</w:t>
      </w:r>
    </w:p>
    <w:p>
      <w:pPr>
        <w:widowControl/>
        <w:spacing w:line="500" w:lineRule="exact"/>
        <w:ind w:firstLine="480"/>
        <w:rPr>
          <w:rFonts w:ascii="宋体" w:hAnsi="宋体" w:cs="宋体"/>
          <w:color w:val="2B2B2B"/>
          <w:kern w:val="0"/>
        </w:rPr>
      </w:pPr>
      <w:r>
        <w:rPr>
          <w:rFonts w:hint="eastAsia" w:ascii="宋体" w:hAnsi="宋体" w:cs="宋体"/>
          <w:color w:val="2B2B2B"/>
          <w:kern w:val="0"/>
        </w:rPr>
        <w:t>300万元2019年实际支出79.2万元，项目实施过程中严格按照项目预算科目及有关政策规定执行。</w:t>
      </w:r>
    </w:p>
    <w:p>
      <w:pPr>
        <w:widowControl/>
        <w:spacing w:line="500" w:lineRule="exact"/>
        <w:ind w:firstLine="480"/>
        <w:rPr>
          <w:rFonts w:ascii="宋体" w:hAnsi="宋体" w:cs="宋体"/>
          <w:color w:val="2B2B2B"/>
          <w:kern w:val="0"/>
        </w:rPr>
      </w:pPr>
      <w:r>
        <w:rPr>
          <w:rFonts w:hint="eastAsia" w:ascii="宋体" w:hAnsi="宋体" w:cs="宋体"/>
          <w:color w:val="2B2B2B"/>
          <w:kern w:val="0"/>
        </w:rPr>
        <w:t>（1）项目成本控制情况。严格按照成本预算，坚持项目经费用在刀刃上，社会效益大于投资成本。</w:t>
      </w:r>
    </w:p>
    <w:p>
      <w:pPr>
        <w:widowControl/>
        <w:spacing w:line="500" w:lineRule="exact"/>
        <w:ind w:firstLine="480"/>
        <w:rPr>
          <w:rFonts w:ascii="宋体" w:hAnsi="宋体" w:cs="宋体"/>
          <w:color w:val="2B2B2B"/>
          <w:kern w:val="0"/>
        </w:rPr>
      </w:pPr>
      <w:r>
        <w:rPr>
          <w:rFonts w:hint="eastAsia" w:ascii="宋体" w:hAnsi="宋体" w:cs="宋体"/>
          <w:color w:val="2B2B2B"/>
          <w:kern w:val="0"/>
        </w:rPr>
        <w:t>（2）项目成本节约情况。坚持把住经费投入关口，保证项目建设和管理质量。</w:t>
      </w:r>
    </w:p>
    <w:p>
      <w:pPr>
        <w:widowControl/>
        <w:spacing w:line="500" w:lineRule="exact"/>
        <w:ind w:firstLine="480"/>
        <w:rPr>
          <w:rFonts w:ascii="宋体" w:hAnsi="宋体" w:cs="宋体"/>
          <w:color w:val="2B2B2B"/>
          <w:kern w:val="0"/>
        </w:rPr>
      </w:pPr>
      <w:r>
        <w:rPr>
          <w:rFonts w:hint="eastAsia" w:ascii="宋体" w:hAnsi="宋体" w:cs="宋体"/>
          <w:color w:val="2B2B2B"/>
          <w:kern w:val="0"/>
        </w:rPr>
        <w:t>2、项目的效率性分析</w:t>
      </w:r>
    </w:p>
    <w:p>
      <w:pPr>
        <w:widowControl/>
        <w:spacing w:line="500" w:lineRule="exact"/>
        <w:ind w:firstLine="480"/>
        <w:rPr>
          <w:rFonts w:ascii="宋体" w:hAnsi="宋体" w:cs="宋体"/>
          <w:color w:val="2B2B2B"/>
          <w:kern w:val="0"/>
        </w:rPr>
      </w:pPr>
      <w:r>
        <w:rPr>
          <w:rFonts w:hint="eastAsia" w:ascii="宋体" w:hAnsi="宋体" w:cs="宋体"/>
          <w:color w:val="2B2B2B"/>
          <w:kern w:val="0"/>
        </w:rPr>
        <w:t>（1）项目的实施进度。截止2019年底，调控方案项目投资资金已落实79.2万元，100万奖励资金还未进行分配。</w:t>
      </w:r>
    </w:p>
    <w:p>
      <w:pPr>
        <w:widowControl/>
        <w:spacing w:line="500" w:lineRule="exact"/>
        <w:ind w:firstLine="480"/>
        <w:rPr>
          <w:rFonts w:ascii="宋体" w:hAnsi="宋体" w:cs="宋体"/>
          <w:color w:val="2B2B2B"/>
          <w:kern w:val="0"/>
        </w:rPr>
      </w:pPr>
      <w:r>
        <w:rPr>
          <w:rFonts w:hint="eastAsia" w:ascii="宋体" w:hAnsi="宋体" w:cs="宋体"/>
          <w:color w:val="2B2B2B"/>
          <w:kern w:val="0"/>
        </w:rPr>
        <w:t>（2）项目完成质量。合理配置了资源，规避项目风险，组织实施，较好保证了项目质量，完成了既定目标。</w:t>
      </w:r>
    </w:p>
    <w:p>
      <w:pPr>
        <w:widowControl/>
        <w:spacing w:line="500" w:lineRule="exact"/>
        <w:ind w:firstLine="480"/>
        <w:rPr>
          <w:rFonts w:ascii="宋体" w:hAnsi="宋体" w:cs="宋体"/>
          <w:color w:val="2B2B2B"/>
          <w:kern w:val="0"/>
        </w:rPr>
      </w:pPr>
      <w:r>
        <w:rPr>
          <w:rFonts w:hint="eastAsia" w:ascii="宋体" w:hAnsi="宋体" w:cs="宋体"/>
          <w:color w:val="2B2B2B"/>
          <w:kern w:val="0"/>
        </w:rPr>
        <w:t>3、项目的效益性分析</w:t>
      </w:r>
    </w:p>
    <w:p>
      <w:pPr>
        <w:widowControl/>
        <w:spacing w:line="500" w:lineRule="exact"/>
        <w:ind w:firstLine="480"/>
        <w:rPr>
          <w:rFonts w:ascii="宋体" w:hAnsi="宋体" w:cs="宋体"/>
          <w:color w:val="2B2B2B"/>
          <w:kern w:val="0"/>
        </w:rPr>
      </w:pPr>
      <w:r>
        <w:rPr>
          <w:rFonts w:hint="eastAsia" w:ascii="宋体" w:hAnsi="宋体" w:cs="宋体"/>
          <w:color w:val="2B2B2B"/>
          <w:kern w:val="0"/>
        </w:rPr>
        <w:t>（1）项目预期目标完成程度。调控方案项目的实施，做到了早计划，早安排，较好实现项目管理和经费支出预期。</w:t>
      </w:r>
    </w:p>
    <w:p>
      <w:pPr>
        <w:widowControl/>
        <w:spacing w:line="500" w:lineRule="exact"/>
        <w:ind w:firstLine="480"/>
        <w:rPr>
          <w:rFonts w:ascii="宋体" w:hAnsi="宋体" w:cs="宋体"/>
          <w:color w:val="2B2B2B"/>
          <w:kern w:val="0"/>
        </w:rPr>
      </w:pPr>
      <w:r>
        <w:rPr>
          <w:rFonts w:hint="eastAsia" w:ascii="宋体" w:hAnsi="宋体" w:cs="宋体"/>
          <w:color w:val="2B2B2B"/>
          <w:kern w:val="0"/>
        </w:rPr>
        <w:t>（2）项目实施对经济和社会的影响。调控方案项目的实施对大通湖水质达标状况、工程效益资金比、工程进度等进行评估，为大通湖水环境治理已使用项目资金使用和项目管理提供了数据支撑，并提出了下一步治理的建议。</w:t>
      </w:r>
    </w:p>
    <w:p>
      <w:pPr>
        <w:widowControl/>
        <w:spacing w:line="500" w:lineRule="exact"/>
        <w:ind w:firstLine="480"/>
        <w:rPr>
          <w:rFonts w:hint="eastAsia" w:ascii="宋体" w:hAnsi="宋体" w:cs="宋体"/>
          <w:color w:val="2B2B2B"/>
          <w:kern w:val="0"/>
        </w:rPr>
      </w:pPr>
      <w:r>
        <w:rPr>
          <w:rFonts w:hint="eastAsia" w:ascii="宋体" w:hAnsi="宋体" w:cs="宋体"/>
          <w:color w:val="2B2B2B"/>
          <w:kern w:val="0"/>
        </w:rPr>
        <w:t>4、项目的可持续性分析。调控方案项目实施完后，指导了下一步大通湖水环境治理工作。</w:t>
      </w:r>
    </w:p>
    <w:p>
      <w:pPr>
        <w:widowControl/>
        <w:spacing w:line="500" w:lineRule="exact"/>
        <w:ind w:firstLine="480"/>
        <w:rPr>
          <w:rFonts w:hint="eastAsia" w:ascii="宋体" w:hAnsi="宋体" w:cs="宋体"/>
          <w:color w:val="2B2B2B"/>
          <w:kern w:val="0"/>
        </w:rPr>
      </w:pPr>
    </w:p>
    <w:p>
      <w:pPr>
        <w:widowControl/>
        <w:spacing w:line="500" w:lineRule="exact"/>
        <w:ind w:firstLine="480"/>
        <w:rPr>
          <w:rFonts w:hint="eastAsia" w:ascii="宋体" w:hAnsi="宋体" w:cs="宋体"/>
          <w:color w:val="2B2B2B"/>
          <w:kern w:val="0"/>
        </w:rPr>
      </w:pPr>
    </w:p>
    <w:p>
      <w:pPr>
        <w:widowControl/>
        <w:spacing w:line="500" w:lineRule="exact"/>
        <w:ind w:firstLine="480"/>
        <w:rPr>
          <w:rFonts w:hint="eastAsia" w:ascii="宋体" w:hAnsi="宋体" w:cs="宋体"/>
          <w:color w:val="2B2B2B"/>
          <w:kern w:val="0"/>
        </w:rPr>
      </w:pPr>
    </w:p>
    <w:p>
      <w:pPr>
        <w:widowControl/>
        <w:spacing w:line="500" w:lineRule="exact"/>
        <w:ind w:firstLine="480"/>
        <w:rPr>
          <w:rFonts w:hint="eastAsia" w:ascii="宋体" w:hAnsi="宋体" w:cs="宋体"/>
          <w:color w:val="2B2B2B"/>
          <w:kern w:val="0"/>
        </w:rPr>
      </w:pPr>
    </w:p>
    <w:p>
      <w:pPr>
        <w:widowControl/>
        <w:spacing w:line="500" w:lineRule="exact"/>
        <w:ind w:firstLine="480"/>
        <w:rPr>
          <w:rFonts w:hint="eastAsia" w:ascii="宋体" w:hAnsi="宋体" w:cs="宋体"/>
          <w:color w:val="2B2B2B"/>
          <w:kern w:val="0"/>
        </w:rPr>
      </w:pPr>
    </w:p>
    <w:p>
      <w:pPr>
        <w:widowControl/>
        <w:spacing w:line="500" w:lineRule="exact"/>
        <w:ind w:firstLine="480"/>
        <w:rPr>
          <w:rFonts w:hint="eastAsia" w:ascii="宋体" w:hAnsi="宋体" w:cs="宋体"/>
          <w:color w:val="2B2B2B"/>
          <w:kern w:val="0"/>
        </w:rPr>
      </w:pPr>
    </w:p>
    <w:p>
      <w:pPr>
        <w:widowControl/>
        <w:spacing w:line="500" w:lineRule="exact"/>
        <w:ind w:firstLine="480"/>
        <w:rPr>
          <w:rFonts w:ascii="宋体" w:hAnsi="宋体" w:cs="宋体"/>
          <w:color w:val="2B2B2B"/>
          <w:kern w:val="0"/>
        </w:rPr>
      </w:pPr>
    </w:p>
    <w:tbl>
      <w:tblPr>
        <w:tblStyle w:val="7"/>
        <w:tblW w:w="0" w:type="auto"/>
        <w:jc w:val="center"/>
        <w:tblLayout w:type="autofit"/>
        <w:tblCellMar>
          <w:top w:w="15" w:type="dxa"/>
          <w:left w:w="15" w:type="dxa"/>
          <w:bottom w:w="15" w:type="dxa"/>
          <w:right w:w="15" w:type="dxa"/>
        </w:tblCellMar>
      </w:tblPr>
      <w:tblGrid>
        <w:gridCol w:w="8336"/>
      </w:tblGrid>
      <w:tr>
        <w:tblPrEx>
          <w:tblCellMar>
            <w:top w:w="15" w:type="dxa"/>
            <w:left w:w="15" w:type="dxa"/>
            <w:bottom w:w="15" w:type="dxa"/>
            <w:right w:w="15" w:type="dxa"/>
          </w:tblCellMar>
        </w:tblPrEx>
        <w:trPr>
          <w:trHeight w:val="450" w:hRule="atLeast"/>
          <w:jc w:val="center"/>
        </w:trPr>
        <w:tc>
          <w:tcPr>
            <w:tcW w:w="0" w:type="auto"/>
            <w:vAlign w:val="center"/>
          </w:tcPr>
          <w:p>
            <w:pPr>
              <w:widowControl/>
              <w:spacing w:line="500" w:lineRule="exact"/>
              <w:jc w:val="left"/>
              <w:rPr>
                <w:rFonts w:ascii="宋体" w:hAnsi="宋体" w:cs="宋体"/>
                <w:b/>
                <w:kern w:val="0"/>
                <w:sz w:val="27"/>
                <w:szCs w:val="27"/>
              </w:rPr>
            </w:pPr>
            <w:r>
              <w:rPr>
                <w:rFonts w:hint="eastAsia" w:ascii="宋体" w:hAnsi="宋体" w:cs="宋体"/>
                <w:b/>
                <w:kern w:val="0"/>
                <w:sz w:val="27"/>
                <w:szCs w:val="27"/>
              </w:rPr>
              <w:t>《</w:t>
            </w:r>
            <w:r>
              <w:rPr>
                <w:rFonts w:ascii="宋体" w:hAnsi="宋体" w:cs="宋体"/>
                <w:b/>
                <w:kern w:val="0"/>
                <w:sz w:val="27"/>
                <w:szCs w:val="27"/>
              </w:rPr>
              <w:t>益阳市生态环境局关于长江经济带战略环境影响评价益阳市“三线一单”编制项目支出绩效评价报告</w:t>
            </w:r>
            <w:r>
              <w:rPr>
                <w:rFonts w:hint="eastAsia" w:ascii="宋体" w:hAnsi="宋体" w:cs="宋体"/>
                <w:b/>
                <w:kern w:val="0"/>
                <w:sz w:val="27"/>
                <w:szCs w:val="27"/>
              </w:rPr>
              <w:t>》</w:t>
            </w:r>
          </w:p>
        </w:tc>
      </w:tr>
      <w:tr>
        <w:tblPrEx>
          <w:tblCellMar>
            <w:top w:w="15" w:type="dxa"/>
            <w:left w:w="15" w:type="dxa"/>
            <w:bottom w:w="15" w:type="dxa"/>
            <w:right w:w="15" w:type="dxa"/>
          </w:tblCellMar>
        </w:tblPrEx>
        <w:trPr>
          <w:trHeight w:val="150" w:hRule="atLeast"/>
          <w:jc w:val="center"/>
        </w:trPr>
        <w:tc>
          <w:tcPr>
            <w:tcW w:w="0" w:type="auto"/>
            <w:vAlign w:val="center"/>
          </w:tcPr>
          <w:p>
            <w:pPr>
              <w:widowControl/>
              <w:spacing w:line="500" w:lineRule="exact"/>
              <w:jc w:val="left"/>
              <w:rPr>
                <w:rFonts w:ascii="宋体" w:hAnsi="宋体" w:cs="宋体"/>
                <w:b/>
                <w:kern w:val="0"/>
                <w:sz w:val="16"/>
                <w:szCs w:val="18"/>
              </w:rPr>
            </w:pPr>
          </w:p>
        </w:tc>
      </w:tr>
    </w:tbl>
    <w:p>
      <w:pPr>
        <w:widowControl/>
        <w:spacing w:line="500" w:lineRule="exact"/>
        <w:ind w:firstLine="480"/>
        <w:rPr>
          <w:rFonts w:ascii="宋体" w:hAnsi="宋体" w:cs="宋体"/>
          <w:color w:val="2B2B2B"/>
          <w:kern w:val="0"/>
        </w:rPr>
      </w:pPr>
      <w:r>
        <w:rPr>
          <w:rFonts w:hint="eastAsia" w:ascii="宋体" w:hAnsi="宋体" w:cs="宋体"/>
          <w:color w:val="2B2B2B"/>
          <w:kern w:val="0"/>
        </w:rPr>
        <w:t>一、项目基本情况</w:t>
      </w:r>
    </w:p>
    <w:p>
      <w:pPr>
        <w:widowControl/>
        <w:spacing w:line="500" w:lineRule="exact"/>
        <w:ind w:firstLine="480"/>
        <w:rPr>
          <w:rFonts w:ascii="宋体" w:hAnsi="宋体" w:cs="宋体"/>
          <w:color w:val="2B2B2B"/>
          <w:kern w:val="0"/>
        </w:rPr>
      </w:pPr>
      <w:r>
        <w:rPr>
          <w:rFonts w:hint="eastAsia" w:ascii="宋体" w:hAnsi="宋体" w:cs="宋体"/>
          <w:color w:val="2B2B2B"/>
          <w:kern w:val="0"/>
        </w:rPr>
        <w:t>（一）项目基本情况简介</w:t>
      </w:r>
    </w:p>
    <w:p>
      <w:pPr>
        <w:widowControl/>
        <w:spacing w:line="500" w:lineRule="exact"/>
        <w:ind w:firstLine="480"/>
        <w:rPr>
          <w:rFonts w:ascii="宋体" w:hAnsi="宋体" w:cs="宋体"/>
          <w:color w:val="2B2B2B"/>
          <w:kern w:val="0"/>
        </w:rPr>
      </w:pPr>
      <w:r>
        <w:rPr>
          <w:rFonts w:hint="eastAsia" w:ascii="宋体" w:hAnsi="宋体" w:cs="宋体"/>
          <w:color w:val="2B2B2B"/>
          <w:kern w:val="0"/>
        </w:rPr>
        <w:t>1、项目基本性质和用途</w:t>
      </w:r>
    </w:p>
    <w:p>
      <w:pPr>
        <w:widowControl/>
        <w:spacing w:line="500" w:lineRule="exact"/>
        <w:ind w:firstLine="480"/>
        <w:rPr>
          <w:rFonts w:ascii="宋体" w:hAnsi="宋体" w:cs="宋体"/>
          <w:color w:val="2B2B2B"/>
          <w:kern w:val="0"/>
        </w:rPr>
      </w:pPr>
      <w:r>
        <w:rPr>
          <w:rFonts w:hint="eastAsia" w:ascii="宋体" w:hAnsi="宋体" w:cs="宋体"/>
          <w:color w:val="2B2B2B"/>
          <w:kern w:val="0"/>
        </w:rPr>
        <w:t>根据国家生态环境部、发展改革委、水利部联合印发《长江经济带生态环境保护规划》（环规财〔2017〕88号）、生态环境部《关于印发&lt;长江经济带环境影响评价工作方案&gt;的通知》（环办环评〔2017〕83号）和省生环委《关于印发&lt;长江经济带战略环境影响评价“三线一单”编制湖南省工作方案&gt;的通知》（湘生环委办〔2018〕3号）文件要求，全省14个地州市均须编制“三线一单”（即生态保护红线、环境质量底线、资源利用上线、环境管控清单），益阳市于2018年8月正式启动该项工作。</w:t>
      </w:r>
    </w:p>
    <w:p>
      <w:pPr>
        <w:widowControl/>
        <w:spacing w:line="500" w:lineRule="exact"/>
        <w:ind w:firstLine="480"/>
        <w:rPr>
          <w:rFonts w:ascii="宋体" w:hAnsi="宋体" w:cs="宋体"/>
          <w:color w:val="2B2B2B"/>
          <w:kern w:val="0"/>
        </w:rPr>
      </w:pPr>
      <w:r>
        <w:rPr>
          <w:rFonts w:hint="eastAsia" w:ascii="宋体" w:hAnsi="宋体" w:cs="宋体"/>
          <w:color w:val="2B2B2B"/>
          <w:kern w:val="0"/>
        </w:rPr>
        <w:t>“三线一单”编制是推动战略规划环评“划框子、定规则、查落实”的重点任务。党的十八大以来，按照简政放权、转变政府职能的总体要求，环境保护部出台《关于印发〈“十三五”环境影响评价改革实施方案〉的通知》等文件，要求按照“划框子、定规则、查落实”3个环节，加大环评改革力度，以“三线一单”为手段，强化空间、总量、准入环境管理，推动战略规划环评落地。是区域实行绿色发展和推动生态文明建设的重要保障。“三线一单”从区域环境质量、环境功能维护的要求出发，核算清污染源排放强度、种类，搞明白区域允许排放量，兜得住环境风险防范的底线，推动战略规划环评“划框子、定规则”，同时也为项目环评工作提供指导、依据和支持。</w:t>
      </w:r>
    </w:p>
    <w:p>
      <w:pPr>
        <w:widowControl/>
        <w:spacing w:line="500" w:lineRule="exact"/>
        <w:ind w:firstLine="480"/>
        <w:rPr>
          <w:rFonts w:ascii="宋体" w:hAnsi="宋体" w:cs="宋体"/>
          <w:color w:val="2B2B2B"/>
          <w:kern w:val="0"/>
        </w:rPr>
      </w:pPr>
      <w:r>
        <w:rPr>
          <w:rFonts w:hint="eastAsia" w:ascii="宋体" w:hAnsi="宋体" w:cs="宋体"/>
          <w:color w:val="2B2B2B"/>
          <w:kern w:val="0"/>
        </w:rPr>
        <w:t>2、主要内容和涉及范围</w:t>
      </w:r>
    </w:p>
    <w:p>
      <w:pPr>
        <w:widowControl/>
        <w:spacing w:line="500" w:lineRule="exact"/>
        <w:ind w:firstLine="480"/>
        <w:rPr>
          <w:rFonts w:ascii="宋体" w:hAnsi="宋体" w:cs="宋体"/>
          <w:color w:val="2B2B2B"/>
          <w:kern w:val="0"/>
        </w:rPr>
      </w:pPr>
      <w:r>
        <w:rPr>
          <w:rFonts w:hint="eastAsia" w:ascii="宋体" w:hAnsi="宋体" w:cs="宋体"/>
          <w:color w:val="2B2B2B"/>
          <w:kern w:val="0"/>
        </w:rPr>
        <w:t>系统收集整理区域生态环境及经济社会等基础数据，开展综合分析评价，明确生态保护红线、环境质量底线，资源利用上线，确定环境管控单元，提出环境准入负面清单。</w:t>
      </w:r>
    </w:p>
    <w:p>
      <w:pPr>
        <w:widowControl/>
        <w:spacing w:line="500" w:lineRule="exact"/>
        <w:ind w:firstLine="480"/>
        <w:rPr>
          <w:rFonts w:ascii="宋体" w:hAnsi="宋体" w:cs="宋体"/>
          <w:color w:val="2B2B2B"/>
          <w:kern w:val="0"/>
        </w:rPr>
      </w:pPr>
      <w:r>
        <w:rPr>
          <w:rFonts w:hint="eastAsia" w:ascii="宋体" w:hAnsi="宋体" w:cs="宋体"/>
          <w:color w:val="2B2B2B"/>
          <w:kern w:val="0"/>
        </w:rPr>
        <w:t>（1）开展基础分析，建立工作底图。收集整理基础地理、生态环境、国土开发等数据资料，对数据进行标准化处理和可靠性分析，建立基础数据库。对相关规划、区划、战略环评的宏观要求进行梳理分析。开展自然环境状况、资源能源禀赋、社会经济发展和城镇化形势等方面的综合分析，建立统一规范的工作底图。</w:t>
      </w:r>
    </w:p>
    <w:p>
      <w:pPr>
        <w:widowControl/>
        <w:spacing w:line="500" w:lineRule="exact"/>
        <w:ind w:firstLine="480"/>
        <w:rPr>
          <w:rFonts w:ascii="宋体" w:hAnsi="宋体" w:cs="宋体"/>
          <w:color w:val="2B2B2B"/>
          <w:kern w:val="0"/>
        </w:rPr>
      </w:pPr>
      <w:r>
        <w:rPr>
          <w:rFonts w:hint="eastAsia" w:ascii="宋体" w:hAnsi="宋体" w:cs="宋体"/>
          <w:color w:val="2B2B2B"/>
          <w:kern w:val="0"/>
        </w:rPr>
        <w:t>（2）明确生态保护红线，识别生态空间。按照《生态保护红线划定指南》，识别需要严格保护的区域，划定并严守生态保护红线，落实生态空间用途分区和管控要求，形成生态空间与生态保护红线图。</w:t>
      </w:r>
    </w:p>
    <w:p>
      <w:pPr>
        <w:widowControl/>
        <w:spacing w:line="500" w:lineRule="exact"/>
        <w:ind w:firstLine="480"/>
        <w:rPr>
          <w:rFonts w:ascii="宋体" w:hAnsi="宋体" w:cs="宋体"/>
          <w:color w:val="2B2B2B"/>
          <w:kern w:val="0"/>
        </w:rPr>
      </w:pPr>
      <w:r>
        <w:rPr>
          <w:rFonts w:hint="eastAsia" w:ascii="宋体" w:hAnsi="宋体" w:cs="宋体"/>
          <w:color w:val="2B2B2B"/>
          <w:kern w:val="0"/>
        </w:rPr>
        <w:t>（3）确立环境质量底线，测算污染物允许排放量。开展水、大气环境评价，明确各要素空间差异化的环境功能属性，合理确定分区域分阶段的环境质量目标，测算污染物允许排放量和控制情景，识别需要重点管控的区域，形成水环境质量底线、允许排放量及重点管控区图，大气环境质量底线、允许排放量及重点管控区图。开展土壤环境评价，合理确定土壤环境安全利用底线目标，形成土壤环境风险管控底线及土壤污染风险重点管控区图。</w:t>
      </w:r>
    </w:p>
    <w:p>
      <w:pPr>
        <w:widowControl/>
        <w:spacing w:line="500" w:lineRule="exact"/>
        <w:ind w:firstLine="480"/>
        <w:rPr>
          <w:rFonts w:ascii="宋体" w:hAnsi="宋体" w:cs="宋体"/>
          <w:color w:val="2B2B2B"/>
          <w:kern w:val="0"/>
        </w:rPr>
      </w:pPr>
      <w:r>
        <w:rPr>
          <w:rFonts w:hint="eastAsia" w:ascii="宋体" w:hAnsi="宋体" w:cs="宋体"/>
          <w:color w:val="2B2B2B"/>
          <w:kern w:val="0"/>
        </w:rPr>
        <w:t>（4）确定资源利用上线，明确管控要求。从生态环境质量维护改善、自然资源资产“保值增值”等角度，开展自然资源开发利用强度评估，明确水、土地等重点资源开发利用和能源消耗的上线要求，形成自然资源资产负债表、土地资源重点管控区图，生态用水补给区图（可选），地下水开采重点管控区图（可选）、高污染燃料禁燃区图（可选）、其他自然资源重点管控区图（可选）。</w:t>
      </w:r>
    </w:p>
    <w:p>
      <w:pPr>
        <w:widowControl/>
        <w:spacing w:line="500" w:lineRule="exact"/>
        <w:ind w:firstLine="480"/>
        <w:rPr>
          <w:rFonts w:ascii="宋体" w:hAnsi="宋体" w:cs="宋体"/>
          <w:color w:val="2B2B2B"/>
          <w:kern w:val="0"/>
        </w:rPr>
      </w:pPr>
      <w:r>
        <w:rPr>
          <w:rFonts w:hint="eastAsia" w:ascii="宋体" w:hAnsi="宋体" w:cs="宋体"/>
          <w:color w:val="2B2B2B"/>
          <w:kern w:val="0"/>
        </w:rPr>
        <w:t>（5）综合各类分区，确定环境管控单元。结合生态、大气、水、土壤等环境要素及自然资源的分区成果，衔接乡镇街道或区县行政边界，建立功能明确、边界清晰的环境管控单元，统一环境管控单元编码，实施分类管理，形成环境管控单元分类图。</w:t>
      </w:r>
    </w:p>
    <w:p>
      <w:pPr>
        <w:widowControl/>
        <w:spacing w:line="500" w:lineRule="exact"/>
        <w:ind w:firstLine="480"/>
        <w:rPr>
          <w:rFonts w:ascii="宋体" w:hAnsi="宋体" w:cs="宋体"/>
          <w:color w:val="2B2B2B"/>
          <w:kern w:val="0"/>
        </w:rPr>
      </w:pPr>
      <w:r>
        <w:rPr>
          <w:rFonts w:hint="eastAsia" w:ascii="宋体" w:hAnsi="宋体" w:cs="宋体"/>
          <w:color w:val="2B2B2B"/>
          <w:kern w:val="0"/>
        </w:rPr>
        <w:t>（6）统筹分区管控要求，建立环境准入负面清单。基于环境管控单元，统筹生态保护红线、环境质量底线、资源利用上线的分区管控要求，明确空间布局约束、污染物排放管控、风险管控防控、资源开发利用效率等方面禁止和限制的环境准入要求，建立环境准入负面清单及相应治理要求。</w:t>
      </w:r>
    </w:p>
    <w:p>
      <w:pPr>
        <w:widowControl/>
        <w:spacing w:line="500" w:lineRule="exact"/>
        <w:ind w:firstLine="480"/>
        <w:rPr>
          <w:rFonts w:ascii="宋体" w:hAnsi="宋体" w:cs="宋体"/>
          <w:color w:val="2B2B2B"/>
          <w:kern w:val="0"/>
        </w:rPr>
      </w:pPr>
      <w:r>
        <w:rPr>
          <w:rFonts w:hint="eastAsia" w:ascii="宋体" w:hAnsi="宋体" w:cs="宋体"/>
          <w:color w:val="2B2B2B"/>
          <w:kern w:val="0"/>
        </w:rPr>
        <w:t>（7）集成“三线一单”成果，建设信息管理平台。落实“三线一单”管控要求，集成开发数据管理、综合分析和应用服务等功能，实现“三线一单”信息共享及动态管理。</w:t>
      </w:r>
    </w:p>
    <w:p>
      <w:pPr>
        <w:widowControl/>
        <w:spacing w:line="500" w:lineRule="exact"/>
        <w:ind w:firstLine="480"/>
        <w:rPr>
          <w:rFonts w:ascii="宋体" w:hAnsi="宋体" w:cs="宋体"/>
          <w:color w:val="2B2B2B"/>
          <w:kern w:val="0"/>
        </w:rPr>
      </w:pPr>
      <w:r>
        <w:rPr>
          <w:rFonts w:hint="eastAsia" w:ascii="宋体" w:hAnsi="宋体" w:cs="宋体"/>
          <w:color w:val="2B2B2B"/>
          <w:kern w:val="0"/>
        </w:rPr>
        <w:t>益阳市“三线一单”编制范围为益阳市行政管辖范围，包括三县（安化、桃江、南县）、一市（沅江）、两区（赫山、资阳），总面积12323.36平方公里。</w:t>
      </w:r>
    </w:p>
    <w:p>
      <w:pPr>
        <w:widowControl/>
        <w:spacing w:line="500" w:lineRule="exact"/>
        <w:ind w:firstLine="480"/>
        <w:rPr>
          <w:rFonts w:ascii="宋体" w:hAnsi="宋体" w:cs="宋体"/>
          <w:color w:val="2B2B2B"/>
          <w:kern w:val="0"/>
        </w:rPr>
      </w:pPr>
      <w:r>
        <w:rPr>
          <w:rFonts w:hint="eastAsia" w:ascii="宋体" w:hAnsi="宋体" w:cs="宋体"/>
          <w:color w:val="2B2B2B"/>
          <w:kern w:val="0"/>
        </w:rPr>
        <w:t>（二）绩效目标设定及指标完成情况</w:t>
      </w:r>
    </w:p>
    <w:p>
      <w:pPr>
        <w:widowControl/>
        <w:spacing w:line="500" w:lineRule="exact"/>
        <w:ind w:firstLine="480"/>
        <w:rPr>
          <w:rFonts w:ascii="宋体" w:hAnsi="宋体" w:cs="宋体"/>
          <w:color w:val="2B2B2B"/>
          <w:kern w:val="0"/>
        </w:rPr>
      </w:pPr>
      <w:r>
        <w:rPr>
          <w:rFonts w:hint="eastAsia" w:ascii="宋体" w:hAnsi="宋体" w:cs="宋体"/>
          <w:color w:val="2B2B2B"/>
          <w:kern w:val="0"/>
        </w:rPr>
        <w:t>1、项目绩效目标</w:t>
      </w:r>
    </w:p>
    <w:p>
      <w:pPr>
        <w:widowControl/>
        <w:spacing w:line="500" w:lineRule="exact"/>
        <w:ind w:firstLine="480"/>
        <w:rPr>
          <w:rFonts w:ascii="宋体" w:hAnsi="宋体" w:cs="宋体"/>
          <w:color w:val="2B2B2B"/>
          <w:kern w:val="0"/>
        </w:rPr>
      </w:pPr>
      <w:r>
        <w:rPr>
          <w:rFonts w:hint="eastAsia" w:ascii="宋体" w:hAnsi="宋体" w:cs="宋体"/>
          <w:color w:val="2B2B2B"/>
          <w:kern w:val="0"/>
        </w:rPr>
        <w:t>绩效目标主要根据项目内容以及国家、省里要求予以设定，从项目内容来看，需要完成以下六个方面工作。在此基础上，形成项目成果，即1份总报告、1份图集、数据库构建。</w:t>
      </w:r>
    </w:p>
    <w:p>
      <w:pPr>
        <w:widowControl/>
        <w:spacing w:line="500" w:lineRule="exact"/>
        <w:ind w:firstLine="480"/>
        <w:rPr>
          <w:rFonts w:ascii="宋体" w:hAnsi="宋体" w:cs="宋体"/>
          <w:color w:val="2B2B2B"/>
          <w:kern w:val="0"/>
        </w:rPr>
      </w:pPr>
      <w:r>
        <w:rPr>
          <w:rFonts w:hint="eastAsia" w:ascii="宋体" w:hAnsi="宋体" w:cs="宋体"/>
          <w:color w:val="2B2B2B"/>
          <w:kern w:val="0"/>
        </w:rPr>
        <w:t>（1）开展基础分析，建立工作底图</w:t>
      </w:r>
    </w:p>
    <w:p>
      <w:pPr>
        <w:widowControl/>
        <w:spacing w:line="500" w:lineRule="exact"/>
        <w:ind w:firstLine="480"/>
        <w:rPr>
          <w:rFonts w:ascii="宋体" w:hAnsi="宋体" w:cs="宋体"/>
          <w:color w:val="2B2B2B"/>
          <w:kern w:val="0"/>
        </w:rPr>
      </w:pPr>
      <w:r>
        <w:rPr>
          <w:rFonts w:hint="eastAsia" w:ascii="宋体" w:hAnsi="宋体" w:cs="宋体"/>
          <w:color w:val="2B2B2B"/>
          <w:kern w:val="0"/>
        </w:rPr>
        <w:t>（2）明确生态保护红线，划定生态空间</w:t>
      </w:r>
    </w:p>
    <w:p>
      <w:pPr>
        <w:widowControl/>
        <w:spacing w:line="500" w:lineRule="exact"/>
        <w:ind w:firstLine="480"/>
        <w:rPr>
          <w:rFonts w:ascii="宋体" w:hAnsi="宋体" w:cs="宋体"/>
          <w:color w:val="2B2B2B"/>
          <w:kern w:val="0"/>
        </w:rPr>
      </w:pPr>
      <w:r>
        <w:rPr>
          <w:rFonts w:hint="eastAsia" w:ascii="宋体" w:hAnsi="宋体" w:cs="宋体"/>
          <w:color w:val="2B2B2B"/>
          <w:kern w:val="0"/>
        </w:rPr>
        <w:t>（3）确立环境质量目标，提出排放总量限制</w:t>
      </w:r>
    </w:p>
    <w:p>
      <w:pPr>
        <w:widowControl/>
        <w:spacing w:line="500" w:lineRule="exact"/>
        <w:ind w:firstLine="480"/>
        <w:rPr>
          <w:rFonts w:ascii="宋体" w:hAnsi="宋体" w:cs="宋体"/>
          <w:color w:val="2B2B2B"/>
          <w:kern w:val="0"/>
        </w:rPr>
      </w:pPr>
      <w:r>
        <w:rPr>
          <w:rFonts w:hint="eastAsia" w:ascii="宋体" w:hAnsi="宋体" w:cs="宋体"/>
          <w:color w:val="2B2B2B"/>
          <w:kern w:val="0"/>
        </w:rPr>
        <w:t>（4）划定资源利用上线，明确管控要求</w:t>
      </w:r>
    </w:p>
    <w:p>
      <w:pPr>
        <w:widowControl/>
        <w:spacing w:line="500" w:lineRule="exact"/>
        <w:ind w:firstLine="480"/>
        <w:rPr>
          <w:rFonts w:ascii="宋体" w:hAnsi="宋体" w:cs="宋体"/>
          <w:color w:val="2B2B2B"/>
          <w:kern w:val="0"/>
        </w:rPr>
      </w:pPr>
      <w:r>
        <w:rPr>
          <w:rFonts w:hint="eastAsia" w:ascii="宋体" w:hAnsi="宋体" w:cs="宋体"/>
          <w:color w:val="2B2B2B"/>
          <w:kern w:val="0"/>
        </w:rPr>
        <w:t>（5）综合各类分区，确定环境管控单位</w:t>
      </w:r>
    </w:p>
    <w:p>
      <w:pPr>
        <w:widowControl/>
        <w:spacing w:line="500" w:lineRule="exact"/>
        <w:ind w:firstLine="480"/>
        <w:rPr>
          <w:rFonts w:ascii="宋体" w:hAnsi="宋体" w:cs="宋体"/>
          <w:color w:val="2B2B2B"/>
          <w:kern w:val="0"/>
        </w:rPr>
      </w:pPr>
      <w:r>
        <w:rPr>
          <w:rFonts w:hint="eastAsia" w:ascii="宋体" w:hAnsi="宋体" w:cs="宋体"/>
          <w:color w:val="2B2B2B"/>
          <w:kern w:val="0"/>
        </w:rPr>
        <w:t>（6）统筹分区管控要求，建立环境准入负面清单</w:t>
      </w:r>
    </w:p>
    <w:p>
      <w:pPr>
        <w:widowControl/>
        <w:spacing w:line="500" w:lineRule="exact"/>
        <w:ind w:firstLine="480"/>
        <w:rPr>
          <w:rFonts w:ascii="宋体" w:hAnsi="宋体" w:cs="宋体"/>
          <w:color w:val="2B2B2B"/>
          <w:kern w:val="0"/>
        </w:rPr>
      </w:pPr>
      <w:r>
        <w:rPr>
          <w:rFonts w:hint="eastAsia" w:ascii="宋体" w:hAnsi="宋体" w:cs="宋体"/>
          <w:color w:val="2B2B2B"/>
          <w:kern w:val="0"/>
        </w:rPr>
        <w:t>2、指标完成情况</w:t>
      </w:r>
    </w:p>
    <w:p>
      <w:pPr>
        <w:widowControl/>
        <w:spacing w:line="500" w:lineRule="exact"/>
        <w:ind w:firstLine="480"/>
        <w:rPr>
          <w:rFonts w:ascii="宋体" w:hAnsi="宋体" w:cs="宋体"/>
          <w:color w:val="2B2B2B"/>
          <w:kern w:val="0"/>
        </w:rPr>
      </w:pPr>
      <w:r>
        <w:rPr>
          <w:rFonts w:hint="eastAsia" w:ascii="宋体" w:hAnsi="宋体" w:cs="宋体"/>
          <w:color w:val="2B2B2B"/>
          <w:kern w:val="0"/>
        </w:rPr>
        <w:t>目前，上述6方面内容已经完成，并形成了相应的成果，即1份总报告、1份图集、数据库构建。其中，总报告和图集成果已经提交给了益阳市人民政府。</w:t>
      </w:r>
    </w:p>
    <w:p>
      <w:pPr>
        <w:widowControl/>
        <w:spacing w:line="500" w:lineRule="exact"/>
        <w:ind w:firstLine="480"/>
        <w:rPr>
          <w:rFonts w:ascii="宋体" w:hAnsi="宋体" w:cs="宋体"/>
          <w:color w:val="2B2B2B"/>
          <w:kern w:val="0"/>
        </w:rPr>
      </w:pPr>
      <w:r>
        <w:rPr>
          <w:rFonts w:hint="eastAsia" w:ascii="宋体" w:hAnsi="宋体" w:cs="宋体"/>
          <w:color w:val="2B2B2B"/>
          <w:kern w:val="0"/>
        </w:rPr>
        <w:t>二、绩效评价工作情况</w:t>
      </w:r>
    </w:p>
    <w:p>
      <w:pPr>
        <w:widowControl/>
        <w:spacing w:line="500" w:lineRule="exact"/>
        <w:ind w:firstLine="480"/>
        <w:rPr>
          <w:rFonts w:ascii="宋体" w:hAnsi="宋体" w:cs="宋体"/>
          <w:color w:val="2B2B2B"/>
          <w:kern w:val="0"/>
        </w:rPr>
      </w:pPr>
      <w:r>
        <w:rPr>
          <w:rFonts w:hint="eastAsia" w:ascii="宋体" w:hAnsi="宋体" w:cs="宋体"/>
          <w:color w:val="2B2B2B"/>
          <w:kern w:val="0"/>
        </w:rPr>
        <w:t>（一）绩效评价目的</w:t>
      </w:r>
    </w:p>
    <w:p>
      <w:pPr>
        <w:widowControl/>
        <w:spacing w:line="500" w:lineRule="exact"/>
        <w:ind w:firstLine="480"/>
        <w:rPr>
          <w:rFonts w:ascii="宋体" w:hAnsi="宋体" w:cs="宋体"/>
          <w:color w:val="2B2B2B"/>
          <w:kern w:val="0"/>
        </w:rPr>
      </w:pPr>
      <w:r>
        <w:rPr>
          <w:rFonts w:hint="eastAsia" w:ascii="宋体" w:hAnsi="宋体" w:cs="宋体"/>
          <w:color w:val="2B2B2B"/>
          <w:kern w:val="0"/>
        </w:rPr>
        <w:t>目的是加强预算绩效管理，强化支出责任，建立科学、合理的财政支出绩效评价管理体系，提高财政资金使用效益。</w:t>
      </w:r>
    </w:p>
    <w:p>
      <w:pPr>
        <w:widowControl/>
        <w:spacing w:line="500" w:lineRule="exact"/>
        <w:ind w:firstLine="480"/>
        <w:rPr>
          <w:rFonts w:ascii="宋体" w:hAnsi="宋体" w:cs="宋体"/>
          <w:color w:val="2B2B2B"/>
          <w:kern w:val="0"/>
        </w:rPr>
      </w:pPr>
      <w:r>
        <w:rPr>
          <w:rFonts w:hint="eastAsia" w:ascii="宋体" w:hAnsi="宋体" w:cs="宋体"/>
          <w:color w:val="2B2B2B"/>
          <w:kern w:val="0"/>
        </w:rPr>
        <w:t>（二）项目资金</w:t>
      </w:r>
    </w:p>
    <w:p>
      <w:pPr>
        <w:widowControl/>
        <w:spacing w:line="500" w:lineRule="exact"/>
        <w:ind w:firstLine="480"/>
        <w:rPr>
          <w:rFonts w:ascii="宋体" w:hAnsi="宋体" w:cs="宋体"/>
          <w:color w:val="2B2B2B"/>
          <w:kern w:val="0"/>
        </w:rPr>
      </w:pPr>
      <w:r>
        <w:rPr>
          <w:rFonts w:hint="eastAsia" w:ascii="宋体" w:hAnsi="宋体" w:cs="宋体"/>
          <w:color w:val="2B2B2B"/>
          <w:kern w:val="0"/>
        </w:rPr>
        <w:t>项目中标价为267.9万元，资金由市财政从生态环境局的2019年预算重点项目生态补偿资金中安排。根据《益阳市长江经济带战略环评三一线一单编制项目技术合同》约定，本项目付款分三笔，第一笔为合同签订后15个工作日支付合同额的30%启动资金，即80.97万元；第二笔为完成初步成果并通过审查后15个工作日内支付合同额的40%的编制经费，即107.16万元；第三笔为最终技术审核和成果验收完成后7个工作日支付合同额的30%的编制经费，即80.37万元。截止2019年12月31日，该项目根据合同进展的要求已支付187.53万元，由于目前还省生态环境厅还未组织专家技术审查，还有第三笔款项没有支付。资金到位及时，到位率100%。</w:t>
      </w:r>
    </w:p>
    <w:p>
      <w:pPr>
        <w:widowControl/>
        <w:spacing w:line="500" w:lineRule="exact"/>
        <w:ind w:firstLine="480"/>
        <w:rPr>
          <w:rFonts w:ascii="宋体" w:hAnsi="宋体" w:cs="宋体"/>
          <w:color w:val="2B2B2B"/>
          <w:kern w:val="0"/>
        </w:rPr>
      </w:pPr>
      <w:r>
        <w:rPr>
          <w:rFonts w:hint="eastAsia" w:ascii="宋体" w:hAnsi="宋体" w:cs="宋体"/>
          <w:color w:val="2B2B2B"/>
          <w:kern w:val="0"/>
        </w:rPr>
        <w:t>资金完全根据项目预算予以支出，无虚列项目支出情况，无截留挤占挪用情况，无超标准开支情况，无超预算情况。学校资金管理、费用支出等制度健全，制度执行严格，会计核算规范。</w:t>
      </w:r>
    </w:p>
    <w:p>
      <w:pPr>
        <w:widowControl/>
        <w:spacing w:line="500" w:lineRule="exact"/>
        <w:ind w:firstLine="480"/>
        <w:rPr>
          <w:rFonts w:ascii="宋体" w:hAnsi="宋体" w:cs="宋体"/>
          <w:color w:val="2B2B2B"/>
          <w:kern w:val="0"/>
        </w:rPr>
      </w:pPr>
      <w:r>
        <w:rPr>
          <w:rFonts w:hint="eastAsia" w:ascii="宋体" w:hAnsi="宋体" w:cs="宋体"/>
          <w:color w:val="2B2B2B"/>
          <w:kern w:val="0"/>
        </w:rPr>
        <w:t>（三）项目组织情况分析</w:t>
      </w:r>
    </w:p>
    <w:p>
      <w:pPr>
        <w:widowControl/>
        <w:spacing w:line="500" w:lineRule="exact"/>
        <w:ind w:firstLine="480"/>
        <w:rPr>
          <w:rFonts w:ascii="宋体" w:hAnsi="宋体" w:cs="宋体"/>
          <w:color w:val="2B2B2B"/>
          <w:kern w:val="0"/>
        </w:rPr>
      </w:pPr>
      <w:r>
        <w:rPr>
          <w:rFonts w:hint="eastAsia" w:ascii="宋体" w:hAnsi="宋体" w:cs="宋体"/>
          <w:color w:val="2B2B2B"/>
          <w:kern w:val="0"/>
        </w:rPr>
        <w:t>1、前期准备工作</w:t>
      </w:r>
    </w:p>
    <w:p>
      <w:pPr>
        <w:widowControl/>
        <w:spacing w:line="500" w:lineRule="exact"/>
        <w:ind w:firstLine="480"/>
        <w:rPr>
          <w:rFonts w:ascii="宋体" w:hAnsi="宋体" w:cs="宋体"/>
          <w:color w:val="2B2B2B"/>
          <w:kern w:val="0"/>
        </w:rPr>
      </w:pPr>
      <w:r>
        <w:rPr>
          <w:rFonts w:hint="eastAsia" w:ascii="宋体" w:hAnsi="宋体" w:cs="宋体"/>
          <w:color w:val="2B2B2B"/>
          <w:kern w:val="0"/>
        </w:rPr>
        <w:t>2018年10月10日，益阳市召开“三线一单”编制工作协调推进会，就“三线一单”编制工作作进一步的部署、推进、落实，以按照生态环境部及省环保厅要求完成编制工作。成立益阳市“三线一单”编制工作协调领导小组，领导小组下设办公室，设在市环保局，负责全市“三线一单”编制日常工作，确定委托第三方咨询机构来完成我市“三线一单”编制工作。</w:t>
      </w:r>
    </w:p>
    <w:p>
      <w:pPr>
        <w:widowControl/>
        <w:spacing w:line="500" w:lineRule="exact"/>
        <w:ind w:firstLine="480"/>
        <w:rPr>
          <w:rFonts w:ascii="宋体" w:hAnsi="宋体" w:cs="宋体"/>
          <w:color w:val="2B2B2B"/>
          <w:kern w:val="0"/>
        </w:rPr>
      </w:pPr>
      <w:r>
        <w:rPr>
          <w:rFonts w:hint="eastAsia" w:ascii="宋体" w:hAnsi="宋体" w:cs="宋体"/>
          <w:color w:val="2B2B2B"/>
          <w:kern w:val="0"/>
        </w:rPr>
        <w:t>因此，本项工作有关法律法规的明确规定，即生态环境部《关于印发&lt;长江经济带环境影响评价工作方案&gt;的通知》（环办环评〔2017〕83号）和省生环委《关于印发&lt;长江经济带战略环境影响评价“三线一单”编制湖南省工作方案&gt;的通知》（湘生环委办〔2018〕3号），同时，又符合益阳市经济社会发展规划、市生态环境局年度工作计划的要求，也是为了落实习近平总书记关于长江经济带“共抓大保护，不搞大开发”战略部署的重大举措。</w:t>
      </w:r>
    </w:p>
    <w:p>
      <w:pPr>
        <w:widowControl/>
        <w:spacing w:line="500" w:lineRule="exact"/>
        <w:ind w:firstLine="480"/>
        <w:rPr>
          <w:rFonts w:ascii="宋体" w:hAnsi="宋体" w:cs="宋体"/>
          <w:color w:val="2B2B2B"/>
          <w:kern w:val="0"/>
        </w:rPr>
      </w:pPr>
      <w:r>
        <w:rPr>
          <w:rFonts w:hint="eastAsia" w:ascii="宋体" w:hAnsi="宋体" w:cs="宋体"/>
          <w:color w:val="2B2B2B"/>
          <w:kern w:val="0"/>
        </w:rPr>
        <w:t>2、招投标过程</w:t>
      </w:r>
    </w:p>
    <w:p>
      <w:pPr>
        <w:widowControl/>
        <w:spacing w:line="500" w:lineRule="exact"/>
        <w:ind w:firstLine="480"/>
        <w:rPr>
          <w:rFonts w:ascii="宋体" w:hAnsi="宋体" w:cs="宋体"/>
          <w:color w:val="2B2B2B"/>
          <w:kern w:val="0"/>
        </w:rPr>
      </w:pPr>
      <w:r>
        <w:rPr>
          <w:rFonts w:hint="eastAsia" w:ascii="宋体" w:hAnsi="宋体" w:cs="宋体"/>
          <w:color w:val="2B2B2B"/>
          <w:kern w:val="0"/>
        </w:rPr>
        <w:t>益阳市高度重视本项工作，将其列入2019年重点工作。2018年12月中旬，通过公开招投标，经评标委员会认真审定、媒体公示评审结果并报主管部门备案，湖南师范大学确定为益阳市长江经济带战略环境评价“三线一单”编制项目的中标人。2019年1月益阳市生态环境局与湖南师范大学签订了合同。</w:t>
      </w:r>
    </w:p>
    <w:p>
      <w:pPr>
        <w:widowControl/>
        <w:spacing w:line="500" w:lineRule="exact"/>
        <w:ind w:firstLine="480"/>
        <w:rPr>
          <w:rFonts w:ascii="宋体" w:hAnsi="宋体" w:cs="宋体"/>
          <w:color w:val="2B2B2B"/>
          <w:kern w:val="0"/>
        </w:rPr>
      </w:pPr>
      <w:r>
        <w:rPr>
          <w:rFonts w:hint="eastAsia" w:ascii="宋体" w:hAnsi="宋体" w:cs="宋体"/>
          <w:color w:val="2B2B2B"/>
          <w:kern w:val="0"/>
        </w:rPr>
        <w:t>3、项目编制和验收过程</w:t>
      </w:r>
    </w:p>
    <w:p>
      <w:pPr>
        <w:widowControl/>
        <w:spacing w:line="500" w:lineRule="exact"/>
        <w:ind w:firstLine="480"/>
        <w:rPr>
          <w:rFonts w:ascii="宋体" w:hAnsi="宋体" w:cs="宋体"/>
          <w:color w:val="2B2B2B"/>
          <w:kern w:val="0"/>
        </w:rPr>
      </w:pPr>
      <w:r>
        <w:rPr>
          <w:rFonts w:hint="eastAsia" w:ascii="宋体" w:hAnsi="宋体" w:cs="宋体"/>
          <w:color w:val="2B2B2B"/>
          <w:kern w:val="0"/>
        </w:rPr>
        <w:t>项目组成立了由3名教授、2名副教授、3名博士和10名硕士研究生组成的技术团队，多次奔赴益阳市7个县区开展资料收集、成果对接和核实，每周和省技术团队汇报和落实相关工作，确保益阳市三线一单编得准、落得地。经过一年多夜以继日的努力，不仅高质量的配合省级技术团队完成了湖南省三线一单最终成果，拟于近日由省人民政府发布，而且将益阳市三线一单成果征求意见稿圆满完成，并向市委市政府汇报了主要成果。</w:t>
      </w:r>
    </w:p>
    <w:p>
      <w:pPr>
        <w:widowControl/>
        <w:spacing w:line="500" w:lineRule="exact"/>
        <w:ind w:firstLine="480"/>
        <w:rPr>
          <w:rFonts w:ascii="宋体" w:hAnsi="宋体" w:cs="宋体"/>
          <w:color w:val="2B2B2B"/>
          <w:kern w:val="0"/>
        </w:rPr>
      </w:pPr>
      <w:r>
        <w:rPr>
          <w:rFonts w:hint="eastAsia" w:ascii="宋体" w:hAnsi="宋体" w:cs="宋体"/>
          <w:color w:val="2B2B2B"/>
          <w:kern w:val="0"/>
        </w:rPr>
        <w:t>目前，由于省生态环境厅暂未确定最终验收时间，因此，本项目还未接受最后的验收。</w:t>
      </w:r>
    </w:p>
    <w:p>
      <w:pPr>
        <w:widowControl/>
        <w:spacing w:line="500" w:lineRule="exact"/>
        <w:ind w:firstLine="480"/>
        <w:rPr>
          <w:rFonts w:ascii="宋体" w:hAnsi="宋体" w:cs="宋体"/>
          <w:color w:val="2B2B2B"/>
          <w:kern w:val="0"/>
        </w:rPr>
      </w:pPr>
      <w:r>
        <w:rPr>
          <w:rFonts w:hint="eastAsia" w:ascii="宋体" w:hAnsi="宋体" w:cs="宋体"/>
          <w:color w:val="2B2B2B"/>
          <w:kern w:val="0"/>
        </w:rPr>
        <w:t>（四）项目管理情况分析</w:t>
      </w:r>
    </w:p>
    <w:p>
      <w:pPr>
        <w:widowControl/>
        <w:spacing w:line="500" w:lineRule="exact"/>
        <w:ind w:firstLine="480"/>
        <w:rPr>
          <w:rFonts w:ascii="宋体" w:hAnsi="宋体" w:cs="宋体"/>
          <w:color w:val="2B2B2B"/>
          <w:kern w:val="0"/>
        </w:rPr>
      </w:pPr>
      <w:r>
        <w:rPr>
          <w:rFonts w:hint="eastAsia" w:ascii="宋体" w:hAnsi="宋体" w:cs="宋体"/>
          <w:color w:val="2B2B2B"/>
          <w:kern w:val="0"/>
        </w:rPr>
        <w:t>本项目由湖南师范大学科技处组织实施，由湖南师范大学资源与环境科学学院具体编制。具体的组织架构如下：</w:t>
      </w:r>
    </w:p>
    <w:p>
      <w:pPr>
        <w:widowControl/>
        <w:spacing w:line="500" w:lineRule="exact"/>
        <w:ind w:firstLine="480"/>
        <w:rPr>
          <w:rFonts w:ascii="宋体" w:hAnsi="宋体" w:cs="宋体"/>
          <w:color w:val="2B2B2B"/>
          <w:kern w:val="0"/>
        </w:rPr>
      </w:pPr>
      <w:r>
        <w:rPr>
          <w:rFonts w:hint="eastAsia" w:ascii="宋体" w:hAnsi="宋体" w:cs="宋体"/>
          <w:color w:val="2B2B2B"/>
          <w:kern w:val="0"/>
        </w:rPr>
        <w:t>1、组织架构保障体系建设</w:t>
      </w:r>
    </w:p>
    <w:p>
      <w:pPr>
        <w:widowControl/>
        <w:spacing w:line="500" w:lineRule="exact"/>
        <w:ind w:firstLine="480"/>
        <w:rPr>
          <w:rFonts w:ascii="宋体" w:hAnsi="宋体" w:cs="宋体"/>
          <w:color w:val="2B2B2B"/>
          <w:kern w:val="0"/>
        </w:rPr>
      </w:pPr>
      <w:r>
        <w:rPr>
          <w:rFonts w:hint="eastAsia" w:ascii="宋体" w:hAnsi="宋体" w:cs="宋体"/>
          <w:color w:val="2B2B2B"/>
          <w:kern w:val="0"/>
        </w:rPr>
        <w:t>项目将成立专家顾问组和技术组。</w:t>
      </w:r>
    </w:p>
    <w:p>
      <w:pPr>
        <w:widowControl/>
        <w:spacing w:line="500" w:lineRule="exact"/>
        <w:ind w:firstLine="480"/>
        <w:rPr>
          <w:rFonts w:ascii="宋体" w:hAnsi="宋体" w:cs="宋体"/>
          <w:color w:val="2B2B2B"/>
          <w:kern w:val="0"/>
        </w:rPr>
      </w:pPr>
      <w:r>
        <w:rPr>
          <w:rFonts w:hint="eastAsia" w:ascii="宋体" w:hAnsi="宋体" w:cs="宋体"/>
          <w:color w:val="2B2B2B"/>
          <w:kern w:val="0"/>
        </w:rPr>
        <w:t>技术组由湖南师范大学资源与环境科学学院教授帅红担任项目负责人、全面主持项目编制工作，负责统筹协调项目编制各相关部门。</w:t>
      </w:r>
    </w:p>
    <w:p>
      <w:pPr>
        <w:widowControl/>
        <w:spacing w:line="500" w:lineRule="exact"/>
        <w:ind w:firstLine="480"/>
        <w:rPr>
          <w:rFonts w:ascii="宋体" w:hAnsi="宋体" w:cs="宋体"/>
          <w:color w:val="2B2B2B"/>
          <w:kern w:val="0"/>
        </w:rPr>
      </w:pPr>
      <w:r>
        <w:rPr>
          <w:rFonts w:hint="eastAsia" w:ascii="宋体" w:hAnsi="宋体" w:cs="宋体"/>
          <w:color w:val="2B2B2B"/>
          <w:kern w:val="0"/>
        </w:rPr>
        <w:t>技术组下设总体组和专题组。专题组针对每个专题，逐一设置专题负责人、全面保障项目编制质量。总体组由各专题负责人联合组成、对规划集成负责。</w:t>
      </w:r>
    </w:p>
    <w:p>
      <w:pPr>
        <w:widowControl/>
        <w:spacing w:line="500" w:lineRule="exact"/>
        <w:ind w:firstLine="480"/>
        <w:rPr>
          <w:rFonts w:ascii="宋体" w:hAnsi="宋体" w:cs="宋体"/>
          <w:color w:val="2B2B2B"/>
          <w:kern w:val="0"/>
        </w:rPr>
      </w:pPr>
      <w:r>
        <w:rPr>
          <w:rFonts w:hint="eastAsia" w:ascii="宋体" w:hAnsi="宋体" w:cs="宋体"/>
          <w:color w:val="2B2B2B"/>
          <w:kern w:val="0"/>
        </w:rPr>
        <w:t>项目设立专家顾问组，通过湖南师范大学知名教授、外聘专家顾问组全过程技术咨询，加大项目技术保障、确保解决项目编制过程中遇到的难点、提升规划质量水平。</w:t>
      </w:r>
    </w:p>
    <w:p>
      <w:pPr>
        <w:widowControl/>
        <w:spacing w:line="500" w:lineRule="exact"/>
        <w:ind w:firstLine="480"/>
        <w:rPr>
          <w:rFonts w:ascii="宋体" w:hAnsi="宋体" w:cs="宋体"/>
          <w:color w:val="2B2B2B"/>
          <w:kern w:val="0"/>
        </w:rPr>
      </w:pPr>
      <w:r>
        <w:rPr>
          <w:rFonts w:hint="eastAsia" w:ascii="宋体" w:hAnsi="宋体" w:cs="宋体"/>
          <w:color w:val="2B2B2B"/>
          <w:kern w:val="0"/>
        </w:rPr>
        <w:t>项目及对向益阳市环保局进行汇报，通过益阳市环保局评议审查等多轮审核，保障项目质量水平。</w:t>
      </w:r>
    </w:p>
    <w:p>
      <w:pPr>
        <w:widowControl/>
        <w:spacing w:line="500" w:lineRule="exact"/>
        <w:ind w:firstLine="480"/>
        <w:rPr>
          <w:rFonts w:ascii="宋体" w:hAnsi="宋体" w:cs="宋体"/>
          <w:color w:val="2B2B2B"/>
          <w:kern w:val="0"/>
        </w:rPr>
      </w:pPr>
      <w:r>
        <w:rPr>
          <w:rFonts w:hint="eastAsia" w:ascii="宋体" w:hAnsi="宋体" w:cs="宋体"/>
          <w:color w:val="2B2B2B"/>
          <w:kern w:val="0"/>
        </w:rPr>
        <w:t>实施项目负责人统筹协调及各个专题组长负责、项目负责人总负责、承担单位学术委员会把关，完善项目审核程序。</w:t>
      </w:r>
    </w:p>
    <w:p>
      <w:pPr>
        <w:widowControl/>
        <w:spacing w:line="500" w:lineRule="exact"/>
        <w:ind w:firstLine="480"/>
        <w:rPr>
          <w:rFonts w:ascii="宋体" w:hAnsi="宋体" w:cs="宋体"/>
          <w:color w:val="2B2B2B"/>
          <w:kern w:val="0"/>
        </w:rPr>
      </w:pPr>
      <w:r>
        <w:rPr>
          <w:rFonts w:hint="eastAsia" w:ascii="宋体" w:hAnsi="宋体" w:cs="宋体"/>
          <w:color w:val="2B2B2B"/>
          <w:kern w:val="0"/>
        </w:rPr>
        <w:t>2、项目质量、进度控制体系建设</w:t>
      </w:r>
    </w:p>
    <w:p>
      <w:pPr>
        <w:widowControl/>
        <w:spacing w:line="500" w:lineRule="exact"/>
        <w:ind w:firstLine="480"/>
        <w:rPr>
          <w:rFonts w:ascii="宋体" w:hAnsi="宋体" w:cs="宋体"/>
          <w:color w:val="2B2B2B"/>
          <w:kern w:val="0"/>
        </w:rPr>
      </w:pPr>
      <w:r>
        <w:rPr>
          <w:rFonts w:hint="eastAsia" w:ascii="宋体" w:hAnsi="宋体" w:cs="宋体"/>
          <w:color w:val="2B2B2B"/>
          <w:kern w:val="0"/>
        </w:rPr>
        <w:t>建立完善的全过程质量控制体系，在资料数据分析、项目审核、技术支持、意见征求等多个方面，严格落实质量控制措施，确保规划质量。</w:t>
      </w:r>
    </w:p>
    <w:p>
      <w:pPr>
        <w:widowControl/>
        <w:spacing w:line="500" w:lineRule="exact"/>
        <w:ind w:firstLine="480"/>
        <w:rPr>
          <w:rFonts w:ascii="宋体" w:hAnsi="宋体" w:cs="宋体"/>
          <w:color w:val="2B2B2B"/>
          <w:kern w:val="0"/>
        </w:rPr>
      </w:pPr>
      <w:r>
        <w:rPr>
          <w:rFonts w:hint="eastAsia" w:ascii="宋体" w:hAnsi="宋体" w:cs="宋体"/>
          <w:color w:val="2B2B2B"/>
          <w:kern w:val="0"/>
        </w:rPr>
        <w:t>（1）制定详细工作进度计划</w:t>
      </w:r>
    </w:p>
    <w:p>
      <w:pPr>
        <w:widowControl/>
        <w:spacing w:line="500" w:lineRule="exact"/>
        <w:ind w:firstLine="480"/>
        <w:rPr>
          <w:rFonts w:ascii="宋体" w:hAnsi="宋体" w:cs="宋体"/>
          <w:color w:val="2B2B2B"/>
          <w:kern w:val="0"/>
        </w:rPr>
      </w:pPr>
      <w:r>
        <w:rPr>
          <w:rFonts w:hint="eastAsia" w:ascii="宋体" w:hAnsi="宋体" w:cs="宋体"/>
          <w:color w:val="2B2B2B"/>
          <w:kern w:val="0"/>
        </w:rPr>
        <w:t>按照招标文件的工期要求编制技术方案和详细的分项任务逬度计划，计划内容包括项目开展前的各项准备工作、项目编制阶段各个分项任务的进度安排和项目评审提交成果时间进度.合理安排各个分项任务在规划编制中的搭接与配合，确定各分项任务的目标工期和全部成果的完成时间。</w:t>
      </w:r>
    </w:p>
    <w:p>
      <w:pPr>
        <w:widowControl/>
        <w:spacing w:line="500" w:lineRule="exact"/>
        <w:ind w:firstLine="480"/>
        <w:rPr>
          <w:rFonts w:ascii="宋体" w:hAnsi="宋体" w:cs="宋体"/>
          <w:color w:val="2B2B2B"/>
          <w:kern w:val="0"/>
        </w:rPr>
      </w:pPr>
      <w:r>
        <w:rPr>
          <w:rFonts w:hint="eastAsia" w:ascii="宋体" w:hAnsi="宋体" w:cs="宋体"/>
          <w:color w:val="2B2B2B"/>
          <w:kern w:val="0"/>
        </w:rPr>
        <w:t>（2）建立周调度，月汇报工作机制</w:t>
      </w:r>
    </w:p>
    <w:p>
      <w:pPr>
        <w:widowControl/>
        <w:spacing w:line="500" w:lineRule="exact"/>
        <w:ind w:firstLine="480"/>
        <w:rPr>
          <w:rFonts w:ascii="宋体" w:hAnsi="宋体" w:cs="宋体"/>
          <w:color w:val="2B2B2B"/>
          <w:kern w:val="0"/>
        </w:rPr>
      </w:pPr>
      <w:r>
        <w:rPr>
          <w:rFonts w:hint="eastAsia" w:ascii="宋体" w:hAnsi="宋体" w:cs="宋体"/>
          <w:color w:val="2B2B2B"/>
          <w:kern w:val="0"/>
        </w:rPr>
        <w:t>将工作的详细进度计划上报益阳市生态环境局，经其协商同意后严格执行。在项目编制过程中建立周调度（一周或者两周召开调度会），月汇报工作机制，及时检査影响进度的问题， 并采取适当的技术、组织和经济等措施，必要时修订和更新进度计划，力保逬度目标按时完成。</w:t>
      </w:r>
    </w:p>
    <w:p>
      <w:pPr>
        <w:widowControl/>
        <w:spacing w:line="500" w:lineRule="exact"/>
        <w:ind w:firstLine="480"/>
        <w:rPr>
          <w:rFonts w:ascii="宋体" w:hAnsi="宋体" w:cs="宋体"/>
          <w:color w:val="2B2B2B"/>
          <w:kern w:val="0"/>
        </w:rPr>
      </w:pPr>
      <w:r>
        <w:rPr>
          <w:rFonts w:hint="eastAsia" w:ascii="宋体" w:hAnsi="宋体" w:cs="宋体"/>
          <w:color w:val="2B2B2B"/>
          <w:kern w:val="0"/>
        </w:rPr>
        <w:t>三、项目绩效情况</w:t>
      </w:r>
    </w:p>
    <w:p>
      <w:pPr>
        <w:widowControl/>
        <w:spacing w:line="500" w:lineRule="exact"/>
        <w:ind w:firstLine="480"/>
        <w:rPr>
          <w:rFonts w:ascii="宋体" w:hAnsi="宋体" w:cs="宋体"/>
          <w:color w:val="2B2B2B"/>
          <w:kern w:val="0"/>
        </w:rPr>
      </w:pPr>
      <w:r>
        <w:rPr>
          <w:rFonts w:hint="eastAsia" w:ascii="宋体" w:hAnsi="宋体" w:cs="宋体"/>
          <w:color w:val="2B2B2B"/>
          <w:kern w:val="0"/>
        </w:rPr>
        <w:t>（一）项目经济性分析</w:t>
      </w:r>
    </w:p>
    <w:p>
      <w:pPr>
        <w:widowControl/>
        <w:spacing w:line="500" w:lineRule="exact"/>
        <w:ind w:firstLine="480"/>
        <w:rPr>
          <w:rFonts w:ascii="宋体" w:hAnsi="宋体" w:cs="宋体"/>
          <w:color w:val="2B2B2B"/>
          <w:kern w:val="0"/>
        </w:rPr>
      </w:pPr>
      <w:r>
        <w:rPr>
          <w:rFonts w:hint="eastAsia" w:ascii="宋体" w:hAnsi="宋体" w:cs="宋体"/>
          <w:color w:val="2B2B2B"/>
          <w:kern w:val="0"/>
        </w:rPr>
        <w:t>项目支出项目主要用于相关资料的版权使用费、相关模型软件购买费、设备购置费、材料费、劳务费、绩效、相关环境质量指标采样监测费以及技术人员出差补贴及差旅费等，基本按照项目预算进行支出。所有资金使用严格按照学校有关财务制度执行，且支出过程中均按照厉行节约原则完成。</w:t>
      </w:r>
    </w:p>
    <w:p>
      <w:pPr>
        <w:widowControl/>
        <w:spacing w:line="500" w:lineRule="exact"/>
        <w:ind w:firstLine="480"/>
        <w:rPr>
          <w:rFonts w:ascii="宋体" w:hAnsi="宋体" w:cs="宋体"/>
          <w:color w:val="2B2B2B"/>
          <w:kern w:val="0"/>
        </w:rPr>
      </w:pPr>
      <w:r>
        <w:rPr>
          <w:rFonts w:hint="eastAsia" w:ascii="宋体" w:hAnsi="宋体" w:cs="宋体"/>
          <w:color w:val="2B2B2B"/>
          <w:kern w:val="0"/>
        </w:rPr>
        <w:t>表1 益阳市“三线一单”项目资金支出情况</w:t>
      </w:r>
    </w:p>
    <w:tbl>
      <w:tblPr>
        <w:tblStyle w:val="7"/>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1351"/>
        <w:gridCol w:w="2330"/>
        <w:gridCol w:w="2348"/>
        <w:gridCol w:w="233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序号</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科目名称</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支出额（元）</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占总资金比（%）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设备费</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180000.00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9.57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2</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材料费</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50000.00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2.66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3</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测试化验加工费</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100000.00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5.31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4</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燃料动力费</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60000.00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3.19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5</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差旅费/会议费/国际合作与交流费</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234440.00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12.46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6</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出版/文献/信息传播/知识产权事务费</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300000.00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15.94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7</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劳务费</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200000.00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10.63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8</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专家咨询费</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100000.00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5.31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9</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其他支出</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148400.00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7.89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绩效支出</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258736.00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13.75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11</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管理费</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188160.00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10.00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380"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12</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税费</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55564.00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3.29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765"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合计</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1875300.00</w:t>
            </w:r>
          </w:p>
        </w:tc>
        <w:tc>
          <w:tcPr>
            <w:tcW w:w="2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100</w:t>
            </w:r>
          </w:p>
        </w:tc>
      </w:tr>
    </w:tbl>
    <w:p>
      <w:pPr>
        <w:widowControl/>
        <w:spacing w:line="500" w:lineRule="exact"/>
        <w:ind w:firstLine="480"/>
        <w:rPr>
          <w:rFonts w:ascii="宋体" w:hAnsi="宋体" w:cs="宋体"/>
          <w:color w:val="2B2B2B"/>
          <w:kern w:val="0"/>
        </w:rPr>
      </w:pPr>
      <w:r>
        <w:rPr>
          <w:rFonts w:hint="eastAsia" w:ascii="宋体" w:hAnsi="宋体" w:cs="宋体"/>
          <w:color w:val="2B2B2B"/>
          <w:kern w:val="0"/>
        </w:rPr>
        <w:t>（二）项目效率性分析</w:t>
      </w:r>
    </w:p>
    <w:p>
      <w:pPr>
        <w:widowControl/>
        <w:spacing w:line="500" w:lineRule="exact"/>
        <w:ind w:firstLine="480"/>
        <w:rPr>
          <w:rFonts w:ascii="宋体" w:hAnsi="宋体" w:cs="宋体"/>
          <w:color w:val="2B2B2B"/>
          <w:kern w:val="0"/>
        </w:rPr>
      </w:pPr>
      <w:r>
        <w:rPr>
          <w:rFonts w:hint="eastAsia" w:ascii="宋体" w:hAnsi="宋体" w:cs="宋体"/>
          <w:color w:val="2B2B2B"/>
          <w:kern w:val="0"/>
        </w:rPr>
        <w:t>本工作严格按照项目拟定时间开展，实施时间约为12个月。具体见表2。</w:t>
      </w:r>
    </w:p>
    <w:p>
      <w:pPr>
        <w:widowControl/>
        <w:spacing w:line="500" w:lineRule="exact"/>
        <w:ind w:firstLine="480"/>
        <w:rPr>
          <w:rFonts w:ascii="宋体" w:hAnsi="宋体" w:cs="宋体"/>
          <w:color w:val="2B2B2B"/>
          <w:kern w:val="0"/>
        </w:rPr>
      </w:pPr>
      <w:r>
        <w:rPr>
          <w:rFonts w:hint="eastAsia" w:ascii="宋体" w:hAnsi="宋体" w:cs="宋体"/>
          <w:color w:val="2B2B2B"/>
          <w:kern w:val="0"/>
        </w:rPr>
        <w:t>表2 益阳市“三线一单”编制时间安排表</w:t>
      </w:r>
    </w:p>
    <w:tbl>
      <w:tblPr>
        <w:tblStyle w:val="7"/>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3078"/>
        <w:gridCol w:w="528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13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时间</w:t>
            </w:r>
          </w:p>
        </w:tc>
        <w:tc>
          <w:tcPr>
            <w:tcW w:w="5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进度安排</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13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合同签订后1个月内</w:t>
            </w:r>
          </w:p>
        </w:tc>
        <w:tc>
          <w:tcPr>
            <w:tcW w:w="5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完成益阳市“三线一单”编制工作方案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13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合同签订后3个月内</w:t>
            </w:r>
          </w:p>
        </w:tc>
        <w:tc>
          <w:tcPr>
            <w:tcW w:w="5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完成基础分析，建立工作底图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313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合同签订后4个月内</w:t>
            </w:r>
          </w:p>
        </w:tc>
        <w:tc>
          <w:tcPr>
            <w:tcW w:w="5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完成生态保护红线分区管控研究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13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合同签订后6个月内</w:t>
            </w:r>
          </w:p>
        </w:tc>
        <w:tc>
          <w:tcPr>
            <w:tcW w:w="5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完成环境质量底线与分区管控研究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13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合同签订后8个月内</w:t>
            </w:r>
          </w:p>
        </w:tc>
        <w:tc>
          <w:tcPr>
            <w:tcW w:w="5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完成资源利用上线与分区管控研究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13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合同签订后9个月内</w:t>
            </w:r>
          </w:p>
        </w:tc>
        <w:tc>
          <w:tcPr>
            <w:tcW w:w="5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确定环境管控单元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13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合同签订后11个月内</w:t>
            </w:r>
          </w:p>
        </w:tc>
        <w:tc>
          <w:tcPr>
            <w:tcW w:w="5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完成环境准入负面清单编制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13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合同签订后12个月内</w:t>
            </w:r>
          </w:p>
        </w:tc>
        <w:tc>
          <w:tcPr>
            <w:tcW w:w="5385" w:type="dxa"/>
            <w:tcBorders>
              <w:top w:val="outset" w:color="000000" w:sz="6" w:space="0"/>
              <w:left w:val="outset" w:color="000000" w:sz="6" w:space="0"/>
              <w:bottom w:val="outset" w:color="000000" w:sz="6" w:space="0"/>
              <w:right w:val="outset" w:color="000000" w:sz="6" w:space="0"/>
            </w:tcBorders>
            <w:vAlign w:val="center"/>
          </w:tcPr>
          <w:p>
            <w:pPr>
              <w:widowControl/>
              <w:spacing w:line="500" w:lineRule="exact"/>
              <w:rPr>
                <w:rFonts w:ascii="宋体" w:hAnsi="宋体" w:cs="宋体"/>
                <w:color w:val="2B2B2B"/>
                <w:kern w:val="0"/>
                <w:sz w:val="18"/>
                <w:szCs w:val="18"/>
              </w:rPr>
            </w:pPr>
            <w:r>
              <w:rPr>
                <w:rFonts w:ascii="宋体" w:hAnsi="宋体" w:cs="宋体"/>
                <w:color w:val="2B2B2B"/>
                <w:kern w:val="0"/>
                <w:sz w:val="18"/>
                <w:szCs w:val="18"/>
              </w:rPr>
              <w:t>召开专家评审会，修改完善报告，提交最终成果，并申请结题验收</w:t>
            </w:r>
          </w:p>
        </w:tc>
      </w:tr>
    </w:tbl>
    <w:p>
      <w:pPr>
        <w:widowControl/>
        <w:spacing w:line="500" w:lineRule="exact"/>
        <w:ind w:firstLine="480"/>
        <w:rPr>
          <w:rFonts w:ascii="宋体" w:hAnsi="宋体" w:cs="宋体"/>
          <w:color w:val="2B2B2B"/>
          <w:kern w:val="0"/>
        </w:rPr>
      </w:pPr>
      <w:r>
        <w:rPr>
          <w:rFonts w:hint="eastAsia" w:ascii="宋体" w:hAnsi="宋体" w:cs="宋体"/>
          <w:color w:val="2B2B2B"/>
          <w:kern w:val="0"/>
        </w:rPr>
        <w:t>在质量方面，完全达到了国家、省生态环境部门颁发的技术规范要求，较好的完成了编制任务。</w:t>
      </w:r>
    </w:p>
    <w:p>
      <w:pPr>
        <w:widowControl/>
        <w:spacing w:line="500" w:lineRule="exact"/>
        <w:ind w:firstLine="480"/>
        <w:rPr>
          <w:rFonts w:ascii="宋体" w:hAnsi="宋体" w:cs="宋体"/>
          <w:color w:val="2B2B2B"/>
          <w:kern w:val="0"/>
        </w:rPr>
      </w:pPr>
      <w:r>
        <w:rPr>
          <w:rFonts w:hint="eastAsia" w:ascii="宋体" w:hAnsi="宋体" w:cs="宋体"/>
          <w:color w:val="2B2B2B"/>
          <w:kern w:val="0"/>
        </w:rPr>
        <w:t>（三）项目的有效性分析</w:t>
      </w:r>
    </w:p>
    <w:p>
      <w:pPr>
        <w:widowControl/>
        <w:spacing w:line="500" w:lineRule="exact"/>
        <w:ind w:firstLine="480"/>
        <w:rPr>
          <w:rFonts w:ascii="宋体" w:hAnsi="宋体" w:cs="宋体"/>
          <w:color w:val="2B2B2B"/>
          <w:kern w:val="0"/>
        </w:rPr>
      </w:pPr>
      <w:r>
        <w:rPr>
          <w:rFonts w:hint="eastAsia" w:ascii="宋体" w:hAnsi="宋体" w:cs="宋体"/>
          <w:color w:val="2B2B2B"/>
          <w:kern w:val="0"/>
        </w:rPr>
        <w:t>充分结合益阳市经济社会发展和生态环境保护的市情编制“三线一单”，对不同单元提出差异化的空间、总量和环境准入的环境管控要求，建立起国土空间生态环境分区管理引导机制，画出生态环境保护的框子，定出经济社会发展的底线规则，将使经济社会发展满足资源环境约束要求，极大地支撑和推动益阳市绿色发展战略的科学落地，构建科学的可持续发展模式，保障益阳市资源环境与经济社会协调发展。</w:t>
      </w:r>
    </w:p>
    <w:p>
      <w:pPr>
        <w:widowControl/>
        <w:spacing w:line="500" w:lineRule="exact"/>
        <w:ind w:firstLine="480"/>
        <w:rPr>
          <w:rFonts w:ascii="宋体" w:hAnsi="宋体" w:cs="宋体"/>
          <w:color w:val="2B2B2B"/>
          <w:kern w:val="0"/>
        </w:rPr>
      </w:pPr>
      <w:r>
        <w:rPr>
          <w:rFonts w:hint="eastAsia" w:ascii="宋体" w:hAnsi="宋体" w:cs="宋体"/>
          <w:color w:val="2B2B2B"/>
          <w:kern w:val="0"/>
        </w:rPr>
        <w:t>因此，从项目的效果来看，它有着巨大的社会效益、经济效益和环境效益。项目成果只要能及时更新就能持续运用。</w:t>
      </w:r>
    </w:p>
    <w:p>
      <w:pPr>
        <w:widowControl/>
        <w:spacing w:line="500" w:lineRule="exact"/>
        <w:ind w:firstLine="480"/>
        <w:rPr>
          <w:rFonts w:ascii="宋体" w:hAnsi="宋体" w:cs="宋体"/>
          <w:color w:val="2B2B2B"/>
          <w:kern w:val="0"/>
        </w:rPr>
      </w:pPr>
      <w:r>
        <w:rPr>
          <w:rFonts w:hint="eastAsia" w:ascii="宋体" w:hAnsi="宋体" w:cs="宋体"/>
          <w:color w:val="2B2B2B"/>
          <w:kern w:val="0"/>
        </w:rPr>
        <w:t>四、存在的问题</w:t>
      </w:r>
    </w:p>
    <w:p>
      <w:pPr>
        <w:widowControl/>
        <w:spacing w:line="500" w:lineRule="exact"/>
        <w:ind w:firstLine="480"/>
        <w:rPr>
          <w:rFonts w:ascii="宋体" w:hAnsi="宋体" w:cs="宋体"/>
          <w:color w:val="2B2B2B"/>
          <w:kern w:val="0"/>
        </w:rPr>
      </w:pPr>
      <w:r>
        <w:rPr>
          <w:rFonts w:hint="eastAsia" w:ascii="宋体" w:hAnsi="宋体" w:cs="宋体"/>
          <w:color w:val="2B2B2B"/>
          <w:kern w:val="0"/>
        </w:rPr>
        <w:t>1、项目的可持续性问题</w:t>
      </w:r>
    </w:p>
    <w:p>
      <w:pPr>
        <w:widowControl/>
        <w:spacing w:line="500" w:lineRule="exact"/>
        <w:ind w:firstLine="480"/>
        <w:rPr>
          <w:rFonts w:ascii="宋体" w:hAnsi="宋体" w:cs="宋体"/>
          <w:color w:val="2B2B2B"/>
          <w:kern w:val="0"/>
        </w:rPr>
      </w:pPr>
      <w:r>
        <w:rPr>
          <w:rFonts w:hint="eastAsia" w:ascii="宋体" w:hAnsi="宋体" w:cs="宋体"/>
          <w:color w:val="2B2B2B"/>
          <w:kern w:val="0"/>
        </w:rPr>
        <w:t>由于“三线一单”数据库是个动态更新的过程，按生态环境部要求，每五年更新一次。如果在项目完成后，后续政策、资金、人员机构安排和管理措施如果不跟上，就会导致项目不能及时更新，会影响到益阳市社会经济健康发展。因此，需要市财政预留一定的财政资金，市生态环境局需安排技术团队长期维护并更新，还需制定相关的管理政策与措施确保更新及时。</w:t>
      </w:r>
    </w:p>
    <w:p>
      <w:pPr>
        <w:widowControl/>
        <w:spacing w:line="500" w:lineRule="exact"/>
        <w:ind w:firstLine="480"/>
        <w:rPr>
          <w:rFonts w:ascii="宋体" w:hAnsi="宋体" w:cs="宋体"/>
          <w:color w:val="2B2B2B"/>
          <w:kern w:val="0"/>
        </w:rPr>
      </w:pPr>
      <w:r>
        <w:rPr>
          <w:rFonts w:hint="eastAsia" w:ascii="宋体" w:hAnsi="宋体" w:cs="宋体"/>
          <w:color w:val="2B2B2B"/>
          <w:kern w:val="0"/>
        </w:rPr>
        <w:t>2、项目的协调问题</w:t>
      </w:r>
    </w:p>
    <w:p>
      <w:pPr>
        <w:widowControl/>
        <w:spacing w:line="500" w:lineRule="exact"/>
        <w:ind w:firstLine="480"/>
        <w:rPr>
          <w:rFonts w:ascii="宋体" w:hAnsi="宋体" w:cs="宋体"/>
          <w:color w:val="2B2B2B"/>
          <w:kern w:val="0"/>
        </w:rPr>
      </w:pPr>
      <w:r>
        <w:rPr>
          <w:rFonts w:hint="eastAsia" w:ascii="宋体" w:hAnsi="宋体" w:cs="宋体"/>
          <w:color w:val="2B2B2B"/>
          <w:kern w:val="0"/>
        </w:rPr>
        <w:t>由于益阳市三线一单项目涉及七个县市区、多个部门，部分人员对于三线一单概念认识模糊，对其编制过程与要求了解不够，导致提出了很多异议，误认为三线一单编制后制约了地方经济发展，所以要求修改和调整。但实际上，该项目的实施更能促进地方的高质量发展。因此，在益阳市三线一单正式发布过程中，难免会需要多次沟通协调和解释。</w:t>
      </w:r>
    </w:p>
    <w:p>
      <w:pPr>
        <w:widowControl/>
        <w:spacing w:line="500" w:lineRule="exact"/>
        <w:ind w:firstLine="480"/>
        <w:rPr>
          <w:rFonts w:ascii="宋体" w:hAnsi="宋体" w:cs="宋体"/>
          <w:color w:val="2B2B2B"/>
          <w:kern w:val="0"/>
        </w:rPr>
      </w:pPr>
      <w:r>
        <w:rPr>
          <w:rFonts w:hint="eastAsia" w:ascii="宋体" w:hAnsi="宋体" w:cs="宋体"/>
          <w:color w:val="2B2B2B"/>
          <w:kern w:val="0"/>
        </w:rPr>
        <w:t>五、其他需要说明的问题</w:t>
      </w:r>
    </w:p>
    <w:p>
      <w:pPr>
        <w:widowControl/>
        <w:spacing w:line="500" w:lineRule="exact"/>
        <w:ind w:firstLine="480"/>
        <w:rPr>
          <w:rFonts w:ascii="宋体" w:hAnsi="宋体" w:cs="宋体"/>
          <w:color w:val="2B2B2B"/>
          <w:kern w:val="0"/>
        </w:rPr>
      </w:pPr>
      <w:r>
        <w:rPr>
          <w:rFonts w:hint="eastAsia" w:ascii="宋体" w:hAnsi="宋体" w:cs="宋体"/>
          <w:color w:val="2B2B2B"/>
          <w:kern w:val="0"/>
        </w:rPr>
        <w:t>（一）后续工作计划</w:t>
      </w:r>
    </w:p>
    <w:p>
      <w:pPr>
        <w:widowControl/>
        <w:spacing w:line="500" w:lineRule="exact"/>
        <w:ind w:firstLine="480"/>
        <w:rPr>
          <w:rFonts w:ascii="宋体" w:hAnsi="宋体" w:cs="宋体"/>
          <w:color w:val="2B2B2B"/>
          <w:kern w:val="0"/>
        </w:rPr>
      </w:pPr>
      <w:r>
        <w:rPr>
          <w:rFonts w:hint="eastAsia" w:ascii="宋体" w:hAnsi="宋体" w:cs="宋体"/>
          <w:color w:val="2B2B2B"/>
          <w:kern w:val="0"/>
        </w:rPr>
        <w:t>1、进一步修改完善三线一单成果，尤其是环境准入管控清单，及时更新数据库。准备迎接省厅组织的专家验收，并按照专家的修改意见完善三线一单成果。</w:t>
      </w:r>
    </w:p>
    <w:p>
      <w:pPr>
        <w:widowControl/>
        <w:spacing w:line="500" w:lineRule="exact"/>
        <w:ind w:firstLine="480"/>
        <w:rPr>
          <w:rFonts w:ascii="宋体" w:hAnsi="宋体" w:cs="宋体"/>
          <w:color w:val="2B2B2B"/>
          <w:kern w:val="0"/>
        </w:rPr>
      </w:pPr>
      <w:r>
        <w:rPr>
          <w:rFonts w:hint="eastAsia" w:ascii="宋体" w:hAnsi="宋体" w:cs="宋体"/>
          <w:color w:val="2B2B2B"/>
          <w:kern w:val="0"/>
        </w:rPr>
        <w:t>2、加强与益阳市下辖的7个县市区、相关部门进一步沟通和协调，尽量化解成果实施的主要制约因素，破解实施过程中遇到的各种难题。</w:t>
      </w:r>
    </w:p>
    <w:p>
      <w:pPr>
        <w:widowControl/>
        <w:spacing w:line="500" w:lineRule="exact"/>
        <w:ind w:firstLine="480"/>
        <w:rPr>
          <w:rFonts w:ascii="宋体" w:hAnsi="宋体" w:cs="宋体"/>
          <w:color w:val="2B2B2B"/>
          <w:kern w:val="0"/>
        </w:rPr>
      </w:pPr>
      <w:r>
        <w:rPr>
          <w:rFonts w:hint="eastAsia" w:ascii="宋体" w:hAnsi="宋体" w:cs="宋体"/>
          <w:color w:val="2B2B2B"/>
          <w:kern w:val="0"/>
        </w:rPr>
        <w:t>（二）主要经验做法、改进措施和有关建议等</w:t>
      </w:r>
    </w:p>
    <w:p>
      <w:pPr>
        <w:widowControl/>
        <w:spacing w:line="500" w:lineRule="exact"/>
        <w:ind w:firstLine="480"/>
        <w:rPr>
          <w:rFonts w:ascii="宋体" w:hAnsi="宋体" w:cs="宋体"/>
          <w:color w:val="2B2B2B"/>
          <w:kern w:val="0"/>
        </w:rPr>
      </w:pPr>
      <w:r>
        <w:rPr>
          <w:rFonts w:hint="eastAsia" w:ascii="宋体" w:hAnsi="宋体" w:cs="宋体"/>
          <w:color w:val="2B2B2B"/>
          <w:kern w:val="0"/>
        </w:rPr>
        <w:t>1、建立绩效管理工作定期汇报分析制度，及时发现工作中存在的问题，研究提出解决问题的措施和办法。</w:t>
      </w:r>
    </w:p>
    <w:p>
      <w:pPr>
        <w:widowControl/>
        <w:spacing w:line="500" w:lineRule="exact"/>
        <w:ind w:firstLine="480"/>
        <w:rPr>
          <w:rFonts w:ascii="宋体" w:hAnsi="宋体" w:cs="宋体"/>
          <w:color w:val="2B2B2B"/>
          <w:kern w:val="0"/>
        </w:rPr>
      </w:pPr>
      <w:r>
        <w:rPr>
          <w:rFonts w:hint="eastAsia" w:ascii="宋体" w:hAnsi="宋体" w:cs="宋体"/>
          <w:color w:val="2B2B2B"/>
          <w:kern w:val="0"/>
        </w:rPr>
        <w:t>2、密切跟踪检查绩效目标完成情况。</w:t>
      </w:r>
    </w:p>
    <w:p>
      <w:pPr>
        <w:widowControl/>
        <w:spacing w:line="500" w:lineRule="exact"/>
        <w:ind w:firstLine="480"/>
        <w:rPr>
          <w:rFonts w:ascii="宋体" w:hAnsi="宋体" w:cs="宋体"/>
          <w:color w:val="2B2B2B"/>
          <w:kern w:val="0"/>
        </w:rPr>
      </w:pPr>
      <w:r>
        <w:rPr>
          <w:rFonts w:hint="eastAsia" w:ascii="宋体" w:hAnsi="宋体" w:cs="宋体"/>
          <w:color w:val="2B2B2B"/>
          <w:kern w:val="0"/>
        </w:rPr>
        <w:t>3、建立健全财政绩效评价指标体系，加强技术团队的业务培训和财政绩效管理信息化建设，加大绩效评价结果的运用。</w:t>
      </w:r>
    </w:p>
    <w:p>
      <w:pPr>
        <w:widowControl/>
        <w:spacing w:line="500" w:lineRule="exact"/>
        <w:ind w:firstLine="480"/>
        <w:rPr>
          <w:rFonts w:ascii="宋体" w:hAnsi="宋体" w:cs="宋体"/>
          <w:color w:val="2B2B2B"/>
          <w:kern w:val="0"/>
        </w:rPr>
      </w:pPr>
      <w:r>
        <w:rPr>
          <w:rFonts w:hint="eastAsia" w:ascii="宋体" w:hAnsi="宋体" w:cs="宋体"/>
          <w:color w:val="2B2B2B"/>
          <w:kern w:val="0"/>
        </w:rPr>
        <w:t>4、继续按照中央“八项规定”、新预算法、会计基础工作制度等进一步加强业务经费的使用管理，对各项任务的完成认真跟踪落实；按责任分工到人，使经费发挥最大的效益。</w:t>
      </w:r>
    </w:p>
    <w:p>
      <w:pPr>
        <w:widowControl/>
        <w:spacing w:line="480" w:lineRule="auto"/>
        <w:ind w:firstLine="480"/>
        <w:rPr>
          <w:rFonts w:ascii="宋体" w:hAnsi="宋体" w:cs="宋体"/>
          <w:color w:val="2B2B2B"/>
          <w:kern w:val="0"/>
        </w:rPr>
      </w:pPr>
    </w:p>
    <w:p>
      <w:pPr>
        <w:rPr>
          <w:rFonts w:ascii="仿宋" w:hAnsi="仿宋" w:eastAsia="仿宋" w:cs="Times New Roman"/>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28</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1781C"/>
    <w:multiLevelType w:val="multilevel"/>
    <w:tmpl w:val="2751781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72F"/>
    <w:rsid w:val="000115B6"/>
    <w:rsid w:val="00022183"/>
    <w:rsid w:val="00027EC2"/>
    <w:rsid w:val="0004225E"/>
    <w:rsid w:val="00042562"/>
    <w:rsid w:val="0004596C"/>
    <w:rsid w:val="00054B38"/>
    <w:rsid w:val="00055BC4"/>
    <w:rsid w:val="00063F3C"/>
    <w:rsid w:val="00064DAD"/>
    <w:rsid w:val="0009395D"/>
    <w:rsid w:val="000A3BA7"/>
    <w:rsid w:val="000A6B5E"/>
    <w:rsid w:val="000B3343"/>
    <w:rsid w:val="000B6542"/>
    <w:rsid w:val="000C2637"/>
    <w:rsid w:val="000C73B9"/>
    <w:rsid w:val="000D3EEC"/>
    <w:rsid w:val="000F1E3A"/>
    <w:rsid w:val="00105EBE"/>
    <w:rsid w:val="00107C24"/>
    <w:rsid w:val="00107D49"/>
    <w:rsid w:val="00111907"/>
    <w:rsid w:val="0013086D"/>
    <w:rsid w:val="001324F6"/>
    <w:rsid w:val="00144E76"/>
    <w:rsid w:val="0015654B"/>
    <w:rsid w:val="00177D7D"/>
    <w:rsid w:val="00186234"/>
    <w:rsid w:val="001925BF"/>
    <w:rsid w:val="001974F6"/>
    <w:rsid w:val="001B1AD2"/>
    <w:rsid w:val="001B683F"/>
    <w:rsid w:val="001C36DA"/>
    <w:rsid w:val="001D4B44"/>
    <w:rsid w:val="001F478D"/>
    <w:rsid w:val="001F73C7"/>
    <w:rsid w:val="00213787"/>
    <w:rsid w:val="002139D4"/>
    <w:rsid w:val="0022577A"/>
    <w:rsid w:val="0022688F"/>
    <w:rsid w:val="002553F3"/>
    <w:rsid w:val="00264BE6"/>
    <w:rsid w:val="00267D65"/>
    <w:rsid w:val="002724EA"/>
    <w:rsid w:val="00284A67"/>
    <w:rsid w:val="00285431"/>
    <w:rsid w:val="00295129"/>
    <w:rsid w:val="00297BFF"/>
    <w:rsid w:val="002B34EB"/>
    <w:rsid w:val="002B7583"/>
    <w:rsid w:val="002C2276"/>
    <w:rsid w:val="002C365D"/>
    <w:rsid w:val="002C7393"/>
    <w:rsid w:val="002D0F78"/>
    <w:rsid w:val="002D13EC"/>
    <w:rsid w:val="002E1F6C"/>
    <w:rsid w:val="002E5702"/>
    <w:rsid w:val="002F3BA5"/>
    <w:rsid w:val="00301A30"/>
    <w:rsid w:val="003105AD"/>
    <w:rsid w:val="0032176D"/>
    <w:rsid w:val="003234C5"/>
    <w:rsid w:val="00351D46"/>
    <w:rsid w:val="003551BF"/>
    <w:rsid w:val="00357827"/>
    <w:rsid w:val="00362323"/>
    <w:rsid w:val="00382CBB"/>
    <w:rsid w:val="00384750"/>
    <w:rsid w:val="00384B2C"/>
    <w:rsid w:val="003866F1"/>
    <w:rsid w:val="00390EAF"/>
    <w:rsid w:val="00390F96"/>
    <w:rsid w:val="0039633D"/>
    <w:rsid w:val="003A2179"/>
    <w:rsid w:val="003A2984"/>
    <w:rsid w:val="003B0BBD"/>
    <w:rsid w:val="003B5824"/>
    <w:rsid w:val="003C2DB1"/>
    <w:rsid w:val="003C5B49"/>
    <w:rsid w:val="003D3558"/>
    <w:rsid w:val="003E2899"/>
    <w:rsid w:val="003F2D76"/>
    <w:rsid w:val="003F6D52"/>
    <w:rsid w:val="0040359D"/>
    <w:rsid w:val="004218FE"/>
    <w:rsid w:val="004323BF"/>
    <w:rsid w:val="0044184B"/>
    <w:rsid w:val="0044689A"/>
    <w:rsid w:val="00457D3D"/>
    <w:rsid w:val="00460D02"/>
    <w:rsid w:val="00466D1B"/>
    <w:rsid w:val="00471196"/>
    <w:rsid w:val="00475A9A"/>
    <w:rsid w:val="004A2D4A"/>
    <w:rsid w:val="004A623C"/>
    <w:rsid w:val="004A68E9"/>
    <w:rsid w:val="004B0A53"/>
    <w:rsid w:val="004B5E89"/>
    <w:rsid w:val="004B7658"/>
    <w:rsid w:val="004C49A9"/>
    <w:rsid w:val="004E6ED5"/>
    <w:rsid w:val="004E7C6C"/>
    <w:rsid w:val="004F3CA4"/>
    <w:rsid w:val="00511E77"/>
    <w:rsid w:val="00517653"/>
    <w:rsid w:val="0053315D"/>
    <w:rsid w:val="00534912"/>
    <w:rsid w:val="005560A1"/>
    <w:rsid w:val="005560ED"/>
    <w:rsid w:val="00595A15"/>
    <w:rsid w:val="005A341B"/>
    <w:rsid w:val="005B2137"/>
    <w:rsid w:val="005C25E5"/>
    <w:rsid w:val="005C669E"/>
    <w:rsid w:val="005D5099"/>
    <w:rsid w:val="005D63EF"/>
    <w:rsid w:val="005E4447"/>
    <w:rsid w:val="005F0228"/>
    <w:rsid w:val="005F772F"/>
    <w:rsid w:val="006021C0"/>
    <w:rsid w:val="00602C46"/>
    <w:rsid w:val="006230C0"/>
    <w:rsid w:val="00643A33"/>
    <w:rsid w:val="00645758"/>
    <w:rsid w:val="006631EE"/>
    <w:rsid w:val="006649DE"/>
    <w:rsid w:val="00667DFF"/>
    <w:rsid w:val="00670016"/>
    <w:rsid w:val="00674C58"/>
    <w:rsid w:val="00675B6D"/>
    <w:rsid w:val="00682B4D"/>
    <w:rsid w:val="00687280"/>
    <w:rsid w:val="00696E01"/>
    <w:rsid w:val="006A52C9"/>
    <w:rsid w:val="006A7548"/>
    <w:rsid w:val="006B0E07"/>
    <w:rsid w:val="006C1952"/>
    <w:rsid w:val="006E634D"/>
    <w:rsid w:val="006F1EB3"/>
    <w:rsid w:val="007153EB"/>
    <w:rsid w:val="00717DDE"/>
    <w:rsid w:val="00722B16"/>
    <w:rsid w:val="00733B1A"/>
    <w:rsid w:val="00735188"/>
    <w:rsid w:val="007373A9"/>
    <w:rsid w:val="007377A0"/>
    <w:rsid w:val="007431B0"/>
    <w:rsid w:val="00747198"/>
    <w:rsid w:val="0075569F"/>
    <w:rsid w:val="00760CE2"/>
    <w:rsid w:val="00760DD5"/>
    <w:rsid w:val="00765A2B"/>
    <w:rsid w:val="00770521"/>
    <w:rsid w:val="00780CCC"/>
    <w:rsid w:val="00781AED"/>
    <w:rsid w:val="0078305F"/>
    <w:rsid w:val="007A6C68"/>
    <w:rsid w:val="007C4CDC"/>
    <w:rsid w:val="007D3CA4"/>
    <w:rsid w:val="007D5E6A"/>
    <w:rsid w:val="007E1534"/>
    <w:rsid w:val="007F00F7"/>
    <w:rsid w:val="00805EA7"/>
    <w:rsid w:val="00806787"/>
    <w:rsid w:val="00810FAF"/>
    <w:rsid w:val="00812AE1"/>
    <w:rsid w:val="008204C7"/>
    <w:rsid w:val="00822F76"/>
    <w:rsid w:val="00824B0B"/>
    <w:rsid w:val="00826385"/>
    <w:rsid w:val="0083514F"/>
    <w:rsid w:val="00835FFF"/>
    <w:rsid w:val="00840968"/>
    <w:rsid w:val="00847981"/>
    <w:rsid w:val="0085519B"/>
    <w:rsid w:val="00867147"/>
    <w:rsid w:val="00867E45"/>
    <w:rsid w:val="00874A90"/>
    <w:rsid w:val="00877466"/>
    <w:rsid w:val="00881764"/>
    <w:rsid w:val="008A7D40"/>
    <w:rsid w:val="008B112E"/>
    <w:rsid w:val="008C3455"/>
    <w:rsid w:val="008C3633"/>
    <w:rsid w:val="008C4EC1"/>
    <w:rsid w:val="008C504F"/>
    <w:rsid w:val="008D4AA8"/>
    <w:rsid w:val="008D7F84"/>
    <w:rsid w:val="008E0CF6"/>
    <w:rsid w:val="008E4F0A"/>
    <w:rsid w:val="00907DC6"/>
    <w:rsid w:val="00925123"/>
    <w:rsid w:val="00926877"/>
    <w:rsid w:val="00936766"/>
    <w:rsid w:val="00937909"/>
    <w:rsid w:val="0096503F"/>
    <w:rsid w:val="00972983"/>
    <w:rsid w:val="00977FAD"/>
    <w:rsid w:val="00983514"/>
    <w:rsid w:val="009B5815"/>
    <w:rsid w:val="009B5CF0"/>
    <w:rsid w:val="009C1EB6"/>
    <w:rsid w:val="009C2F41"/>
    <w:rsid w:val="009C5517"/>
    <w:rsid w:val="009C6617"/>
    <w:rsid w:val="009D4E4C"/>
    <w:rsid w:val="009D75C4"/>
    <w:rsid w:val="009E5872"/>
    <w:rsid w:val="00A11A81"/>
    <w:rsid w:val="00A3263A"/>
    <w:rsid w:val="00A52C04"/>
    <w:rsid w:val="00A638EC"/>
    <w:rsid w:val="00A93D4D"/>
    <w:rsid w:val="00A9404D"/>
    <w:rsid w:val="00AA4618"/>
    <w:rsid w:val="00AA492B"/>
    <w:rsid w:val="00AC40AE"/>
    <w:rsid w:val="00AE24AE"/>
    <w:rsid w:val="00B00071"/>
    <w:rsid w:val="00B02960"/>
    <w:rsid w:val="00B22D09"/>
    <w:rsid w:val="00B31DEE"/>
    <w:rsid w:val="00B329A0"/>
    <w:rsid w:val="00B4471E"/>
    <w:rsid w:val="00B471EC"/>
    <w:rsid w:val="00B77B1F"/>
    <w:rsid w:val="00BA1DF6"/>
    <w:rsid w:val="00BA223C"/>
    <w:rsid w:val="00BA30AB"/>
    <w:rsid w:val="00BE64AE"/>
    <w:rsid w:val="00C301E6"/>
    <w:rsid w:val="00C303F6"/>
    <w:rsid w:val="00C31222"/>
    <w:rsid w:val="00C3314F"/>
    <w:rsid w:val="00C47F2E"/>
    <w:rsid w:val="00C545F0"/>
    <w:rsid w:val="00C6108E"/>
    <w:rsid w:val="00C65EF1"/>
    <w:rsid w:val="00C76CCD"/>
    <w:rsid w:val="00C82F39"/>
    <w:rsid w:val="00C95329"/>
    <w:rsid w:val="00CA6989"/>
    <w:rsid w:val="00CA6E20"/>
    <w:rsid w:val="00CB00E1"/>
    <w:rsid w:val="00CB23E4"/>
    <w:rsid w:val="00CB4603"/>
    <w:rsid w:val="00CB5BC2"/>
    <w:rsid w:val="00CC3AAD"/>
    <w:rsid w:val="00CC3CEE"/>
    <w:rsid w:val="00CF6169"/>
    <w:rsid w:val="00CF7D74"/>
    <w:rsid w:val="00D01EEA"/>
    <w:rsid w:val="00D15847"/>
    <w:rsid w:val="00D404BC"/>
    <w:rsid w:val="00D4377D"/>
    <w:rsid w:val="00D47117"/>
    <w:rsid w:val="00D479F7"/>
    <w:rsid w:val="00D53FB2"/>
    <w:rsid w:val="00D67C14"/>
    <w:rsid w:val="00D714B2"/>
    <w:rsid w:val="00D72D31"/>
    <w:rsid w:val="00DB0A52"/>
    <w:rsid w:val="00DD578E"/>
    <w:rsid w:val="00DE30CD"/>
    <w:rsid w:val="00DE4729"/>
    <w:rsid w:val="00DE7EC7"/>
    <w:rsid w:val="00E01861"/>
    <w:rsid w:val="00E03A27"/>
    <w:rsid w:val="00E04753"/>
    <w:rsid w:val="00E04C9A"/>
    <w:rsid w:val="00E10125"/>
    <w:rsid w:val="00E12DBE"/>
    <w:rsid w:val="00E167E4"/>
    <w:rsid w:val="00E20C94"/>
    <w:rsid w:val="00E22793"/>
    <w:rsid w:val="00E3672B"/>
    <w:rsid w:val="00E3753F"/>
    <w:rsid w:val="00E4555A"/>
    <w:rsid w:val="00E50DC6"/>
    <w:rsid w:val="00E56A8A"/>
    <w:rsid w:val="00E600E2"/>
    <w:rsid w:val="00E75ECD"/>
    <w:rsid w:val="00E82CCE"/>
    <w:rsid w:val="00E83071"/>
    <w:rsid w:val="00EA6E45"/>
    <w:rsid w:val="00EA737E"/>
    <w:rsid w:val="00EB05EB"/>
    <w:rsid w:val="00EB2B54"/>
    <w:rsid w:val="00EB3ED0"/>
    <w:rsid w:val="00ED2D5A"/>
    <w:rsid w:val="00ED5052"/>
    <w:rsid w:val="00EF36B3"/>
    <w:rsid w:val="00EF7A9F"/>
    <w:rsid w:val="00F068A0"/>
    <w:rsid w:val="00F145E6"/>
    <w:rsid w:val="00F233C8"/>
    <w:rsid w:val="00F316B0"/>
    <w:rsid w:val="00F32B68"/>
    <w:rsid w:val="00F32F61"/>
    <w:rsid w:val="00F41B03"/>
    <w:rsid w:val="00F43CE1"/>
    <w:rsid w:val="00F568C1"/>
    <w:rsid w:val="00F65165"/>
    <w:rsid w:val="00F72412"/>
    <w:rsid w:val="00F7607E"/>
    <w:rsid w:val="00F9169F"/>
    <w:rsid w:val="00FB003E"/>
    <w:rsid w:val="00FB0CE2"/>
    <w:rsid w:val="00FD1C98"/>
    <w:rsid w:val="25590668"/>
    <w:rsid w:val="552067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after="120"/>
      <w:ind w:left="200" w:leftChars="200"/>
    </w:pPr>
    <w:rPr>
      <w:rFonts w:ascii="ˎ̥" w:hAnsi="ˎ̥" w:cs="宋体"/>
      <w:color w:val="000000"/>
      <w:spacing w:val="-16"/>
      <w:kern w:val="28"/>
      <w:position w:val="-10"/>
      <w:sz w:val="28"/>
      <w:szCs w:val="2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6">
    <w:name w:val="Title"/>
    <w:basedOn w:val="1"/>
    <w:next w:val="1"/>
    <w:link w:val="13"/>
    <w:qFormat/>
    <w:locked/>
    <w:uiPriority w:val="0"/>
    <w:pPr>
      <w:widowControl/>
      <w:spacing w:before="240" w:after="60"/>
      <w:jc w:val="center"/>
      <w:outlineLvl w:val="0"/>
    </w:pPr>
    <w:rPr>
      <w:rFonts w:ascii="Cambria" w:hAnsi="Cambria" w:cs="Times New Roman"/>
      <w:b/>
      <w:bCs/>
      <w:sz w:val="32"/>
      <w:szCs w:val="32"/>
    </w:rPr>
  </w:style>
  <w:style w:type="character" w:customStyle="1" w:styleId="9">
    <w:name w:val="页眉 Char"/>
    <w:basedOn w:val="8"/>
    <w:link w:val="4"/>
    <w:semiHidden/>
    <w:uiPriority w:val="99"/>
    <w:rPr>
      <w:rFonts w:cs="Calibri"/>
      <w:sz w:val="18"/>
      <w:szCs w:val="18"/>
    </w:rPr>
  </w:style>
  <w:style w:type="character" w:customStyle="1" w:styleId="10">
    <w:name w:val="页脚 Char"/>
    <w:basedOn w:val="8"/>
    <w:link w:val="3"/>
    <w:qFormat/>
    <w:uiPriority w:val="99"/>
    <w:rPr>
      <w:rFonts w:cs="Calibri"/>
      <w:sz w:val="18"/>
      <w:szCs w:val="18"/>
    </w:rPr>
  </w:style>
  <w:style w:type="character" w:customStyle="1" w:styleId="11">
    <w:name w:val="正文文本缩进 Char"/>
    <w:basedOn w:val="8"/>
    <w:link w:val="2"/>
    <w:uiPriority w:val="0"/>
    <w:rPr>
      <w:rFonts w:ascii="ˎ̥" w:hAnsi="ˎ̥" w:cs="宋体"/>
      <w:color w:val="000000"/>
      <w:spacing w:val="-16"/>
      <w:kern w:val="28"/>
      <w:position w:val="-10"/>
      <w:sz w:val="28"/>
      <w:szCs w:val="28"/>
    </w:rPr>
  </w:style>
  <w:style w:type="character" w:customStyle="1" w:styleId="12">
    <w:name w:val="正文文本缩进 Char1"/>
    <w:basedOn w:val="8"/>
    <w:link w:val="2"/>
    <w:semiHidden/>
    <w:uiPriority w:val="99"/>
    <w:rPr>
      <w:rFonts w:cs="Calibri"/>
      <w:kern w:val="2"/>
      <w:sz w:val="21"/>
      <w:szCs w:val="21"/>
    </w:rPr>
  </w:style>
  <w:style w:type="character" w:customStyle="1" w:styleId="13">
    <w:name w:val="标题 Char"/>
    <w:basedOn w:val="8"/>
    <w:link w:val="6"/>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28</Pages>
  <Words>2242</Words>
  <Characters>12780</Characters>
  <Lines>106</Lines>
  <Paragraphs>29</Paragraphs>
  <TotalTime>0</TotalTime>
  <ScaleCrop>false</ScaleCrop>
  <LinksUpToDate>false</LinksUpToDate>
  <CharactersWithSpaces>14993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2017-07-17T06:15:00Z</dcterms:created>
  <dc:creator>USER</dc:creator>
  <cp:lastModifiedBy>Administrator</cp:lastModifiedBy>
  <cp:lastPrinted>2020-09-23T01:48:00Z</cp:lastPrinted>
  <dcterms:modified xsi:type="dcterms:W3CDTF">2021-06-19T01:54:19Z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F2445FC44AFF41CD88162E055DA96D7B</vt:lpwstr>
  </property>
</Properties>
</file>