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szCs w:val="32"/>
        </w:rPr>
      </w:pPr>
      <w:r>
        <w:rPr>
          <w:rFonts w:hint="eastAsia" w:ascii="方正小标宋简体" w:hAnsi="方正小标宋简体" w:eastAsia="方正小标宋简体" w:cs="方正小标宋简体"/>
          <w:b w:val="0"/>
          <w:bCs/>
          <w:szCs w:val="32"/>
        </w:rPr>
        <w:t>2018年益阳市电子商务发展引导资金</w:t>
      </w:r>
    </w:p>
    <w:p>
      <w:pPr>
        <w:pStyle w:val="3"/>
        <w:keepNext w:val="0"/>
        <w:keepLines w:val="0"/>
        <w:pageBreakBefore w:val="0"/>
        <w:widowControl w:val="0"/>
        <w:kinsoku/>
        <w:wordWrap/>
        <w:overflowPunct w:val="0"/>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szCs w:val="32"/>
        </w:rPr>
      </w:pPr>
      <w:r>
        <w:rPr>
          <w:rFonts w:hint="eastAsia" w:ascii="方正小标宋简体" w:hAnsi="方正小标宋简体" w:eastAsia="方正小标宋简体" w:cs="方正小标宋简体"/>
          <w:b w:val="0"/>
          <w:bCs/>
          <w:szCs w:val="32"/>
        </w:rPr>
        <w:t>绩  效  报  告</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00" w:firstLineChars="200"/>
        <w:jc w:val="both"/>
        <w:textAlignment w:val="auto"/>
        <w:rPr>
          <w:rFonts w:ascii="仿宋_GB2312" w:hAnsi="仿宋_GB2312" w:eastAsia="仿宋_GB2312" w:cs="仿宋_GB2312"/>
          <w:b w:val="0"/>
          <w:bCs/>
          <w:sz w:val="30"/>
          <w:szCs w:val="30"/>
        </w:rPr>
      </w:pP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按照《中共中央国务院关于全面实施预算绩效管理的意见》（中发〔2018〕34号）精神，根据《益阳市人民政府关于全面推进预算绩效管理的实施意见》（益政发〔2013〕10号）、《益阳市财政局关于转发&lt;湖南省预算绩效管理工作规程（试行）&gt;的通知》（益财绩〔2014〕126号）等有关文件精神，我局对2018年度电子商务服务外包产业发展资金使用情况</w:t>
      </w:r>
      <w:r>
        <w:rPr>
          <w:rFonts w:ascii="仿宋" w:hAnsi="仿宋" w:eastAsia="仿宋"/>
          <w:b w:val="0"/>
          <w:bCs/>
          <w:sz w:val="32"/>
          <w:szCs w:val="32"/>
        </w:rPr>
        <w:t>算绩效</w:t>
      </w:r>
      <w:r>
        <w:rPr>
          <w:rFonts w:hint="eastAsia" w:ascii="仿宋" w:hAnsi="仿宋" w:eastAsia="仿宋"/>
          <w:b w:val="0"/>
          <w:bCs/>
          <w:sz w:val="32"/>
          <w:szCs w:val="32"/>
        </w:rPr>
        <w:t>汇报如下：</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_GB2312" w:hAnsi="仿宋_GB2312" w:eastAsia="仿宋_GB2312" w:cs="仿宋_GB2312"/>
          <w:b w:val="0"/>
          <w:bCs/>
          <w:sz w:val="30"/>
          <w:szCs w:val="30"/>
        </w:rPr>
      </w:pPr>
      <w:r>
        <w:rPr>
          <w:rFonts w:hint="eastAsia" w:ascii="黑体" w:hAnsi="黑体" w:eastAsia="黑体" w:cs="黑体"/>
          <w:b w:val="0"/>
          <w:bCs/>
          <w:sz w:val="32"/>
          <w:szCs w:val="32"/>
        </w:rPr>
        <w:t>一、基本情况</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楷体" w:hAnsi="楷体" w:eastAsia="楷体" w:cs="仿宋"/>
          <w:b w:val="0"/>
          <w:bCs/>
          <w:sz w:val="32"/>
          <w:szCs w:val="32"/>
        </w:rPr>
      </w:pPr>
      <w:r>
        <w:rPr>
          <w:rFonts w:hint="eastAsia" w:ascii="楷体" w:hAnsi="楷体" w:eastAsia="楷体" w:cs="仿宋"/>
          <w:b w:val="0"/>
          <w:bCs/>
          <w:sz w:val="32"/>
          <w:szCs w:val="32"/>
        </w:rPr>
        <w:t>（一）项目单位资金的来源依据</w:t>
      </w:r>
    </w:p>
    <w:p>
      <w:pPr>
        <w:pStyle w:val="7"/>
        <w:keepNext w:val="0"/>
        <w:keepLines w:val="0"/>
        <w:pageBreakBefore w:val="0"/>
        <w:widowControl w:val="0"/>
        <w:shd w:val="clear" w:color="auto" w:fill="FFFFFF"/>
        <w:kinsoku/>
        <w:wordWrap/>
        <w:overflowPunct w:val="0"/>
        <w:topLinePunct w:val="0"/>
        <w:autoSpaceDE/>
        <w:autoSpaceDN/>
        <w:bidi w:val="0"/>
        <w:adjustRightInd w:val="0"/>
        <w:snapToGrid w:val="0"/>
        <w:spacing w:line="600" w:lineRule="exact"/>
        <w:ind w:left="0" w:firstLine="640" w:firstLineChars="200"/>
        <w:jc w:val="both"/>
        <w:textAlignment w:val="auto"/>
        <w:rPr>
          <w:rFonts w:ascii="仿宋_GB2312" w:hAnsi="仿宋_GB2312" w:eastAsia="仿宋_GB2312" w:cs="仿宋_GB2312"/>
          <w:b w:val="0"/>
          <w:bCs/>
          <w:sz w:val="32"/>
          <w:szCs w:val="32"/>
        </w:rPr>
      </w:pPr>
      <w:r>
        <w:rPr>
          <w:rFonts w:hint="eastAsia" w:ascii="仿宋" w:hAnsi="仿宋" w:eastAsia="仿宋"/>
          <w:b w:val="0"/>
          <w:bCs/>
          <w:sz w:val="32"/>
          <w:szCs w:val="32"/>
        </w:rPr>
        <w:t>根据益阳市人民政府</w:t>
      </w:r>
      <w:r>
        <w:rPr>
          <w:rFonts w:hint="eastAsia" w:ascii="仿宋" w:hAnsi="仿宋" w:eastAsia="仿宋"/>
          <w:b w:val="0"/>
          <w:bCs/>
          <w:color w:val="000000"/>
          <w:sz w:val="32"/>
          <w:szCs w:val="32"/>
          <w:shd w:val="clear" w:color="auto" w:fill="FFFFFF"/>
        </w:rPr>
        <w:t>《关于进一步加强推进招商引资工作的实施意见》（</w:t>
      </w:r>
      <w:r>
        <w:rPr>
          <w:rFonts w:ascii="仿宋" w:hAnsi="仿宋" w:eastAsia="仿宋"/>
          <w:b w:val="0"/>
          <w:bCs/>
          <w:color w:val="000000"/>
          <w:sz w:val="32"/>
          <w:szCs w:val="32"/>
          <w:shd w:val="clear" w:color="auto" w:fill="FFFFFF"/>
        </w:rPr>
        <w:t>益政发〔201</w:t>
      </w:r>
      <w:r>
        <w:rPr>
          <w:rFonts w:hint="eastAsia" w:ascii="仿宋" w:hAnsi="仿宋" w:eastAsia="仿宋"/>
          <w:b w:val="0"/>
          <w:bCs/>
          <w:color w:val="000000"/>
          <w:sz w:val="32"/>
          <w:szCs w:val="32"/>
          <w:shd w:val="clear" w:color="auto" w:fill="FFFFFF"/>
        </w:rPr>
        <w:t>8</w:t>
      </w:r>
      <w:r>
        <w:rPr>
          <w:rFonts w:ascii="仿宋" w:hAnsi="仿宋" w:eastAsia="仿宋"/>
          <w:b w:val="0"/>
          <w:bCs/>
          <w:color w:val="000000"/>
          <w:sz w:val="32"/>
          <w:szCs w:val="32"/>
          <w:shd w:val="clear" w:color="auto" w:fill="FFFFFF"/>
        </w:rPr>
        <w:t>〕</w:t>
      </w:r>
      <w:r>
        <w:rPr>
          <w:rFonts w:hint="eastAsia" w:ascii="仿宋" w:hAnsi="仿宋" w:eastAsia="仿宋"/>
          <w:b w:val="0"/>
          <w:bCs/>
          <w:color w:val="000000"/>
          <w:sz w:val="32"/>
          <w:szCs w:val="32"/>
          <w:shd w:val="clear" w:color="auto" w:fill="FFFFFF"/>
        </w:rPr>
        <w:t>6</w:t>
      </w:r>
      <w:r>
        <w:rPr>
          <w:rFonts w:ascii="仿宋" w:hAnsi="仿宋" w:eastAsia="仿宋"/>
          <w:b w:val="0"/>
          <w:bCs/>
          <w:color w:val="000000"/>
          <w:sz w:val="32"/>
          <w:szCs w:val="32"/>
          <w:shd w:val="clear" w:color="auto" w:fill="FFFFFF"/>
        </w:rPr>
        <w:t>号</w:t>
      </w:r>
      <w:r>
        <w:rPr>
          <w:rFonts w:hint="eastAsia" w:ascii="仿宋" w:hAnsi="仿宋" w:eastAsia="仿宋"/>
          <w:b w:val="0"/>
          <w:bCs/>
          <w:color w:val="000000"/>
          <w:sz w:val="32"/>
          <w:szCs w:val="32"/>
          <w:shd w:val="clear" w:color="auto" w:fill="FFFFFF"/>
        </w:rPr>
        <w:t>）附件2：益阳市促进电子商务产业发展奖励办法文件精神第三条，市政府在产业发展奖励补助资金中第年安排电子商务产业发展引导资金500万元</w:t>
      </w:r>
      <w:r>
        <w:rPr>
          <w:rFonts w:ascii="仿宋" w:hAnsi="仿宋" w:eastAsia="仿宋"/>
          <w:b w:val="0"/>
          <w:bCs/>
          <w:color w:val="000000"/>
          <w:sz w:val="32"/>
          <w:szCs w:val="32"/>
          <w:shd w:val="clear" w:color="auto" w:fill="FFFFFF"/>
        </w:rPr>
        <w:t>。</w:t>
      </w:r>
      <w:r>
        <w:rPr>
          <w:rFonts w:hint="eastAsia" w:ascii="仿宋" w:hAnsi="仿宋" w:eastAsia="仿宋"/>
          <w:b w:val="0"/>
          <w:bCs/>
          <w:sz w:val="32"/>
          <w:szCs w:val="32"/>
        </w:rPr>
        <w:t>2018年使用</w:t>
      </w:r>
      <w:r>
        <w:rPr>
          <w:rFonts w:hint="eastAsia" w:ascii="仿宋" w:hAnsi="仿宋" w:eastAsia="仿宋"/>
          <w:b w:val="0"/>
          <w:bCs/>
          <w:color w:val="000000"/>
          <w:sz w:val="32"/>
          <w:szCs w:val="32"/>
          <w:shd w:val="clear" w:color="auto" w:fill="FFFFFF"/>
        </w:rPr>
        <w:t>电子商务产业发展引导</w:t>
      </w:r>
      <w:r>
        <w:rPr>
          <w:rFonts w:hint="eastAsia" w:ascii="仿宋" w:hAnsi="仿宋" w:eastAsia="仿宋"/>
          <w:b w:val="0"/>
          <w:bCs/>
          <w:sz w:val="32"/>
          <w:szCs w:val="32"/>
        </w:rPr>
        <w:t>资金490万元，其中向赫山、资阳、高新区55家企业分配电子商务扶持资金450万元，另一部分安排40万元予安化县冷市镇金湖村等四个扶贫村（社区），用于电商扶贫帮建工作。</w:t>
      </w:r>
    </w:p>
    <w:p>
      <w:pPr>
        <w:pStyle w:val="2"/>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hint="eastAsia" w:ascii="楷体" w:hAnsi="楷体" w:eastAsia="楷体" w:cs="仿宋"/>
          <w:b w:val="0"/>
          <w:bCs/>
          <w:sz w:val="32"/>
          <w:szCs w:val="32"/>
        </w:rPr>
      </w:pPr>
      <w:r>
        <w:rPr>
          <w:rFonts w:hint="eastAsia" w:ascii="仿宋" w:hAnsi="仿宋" w:eastAsia="仿宋"/>
          <w:b w:val="0"/>
          <w:bCs/>
          <w:sz w:val="32"/>
          <w:szCs w:val="32"/>
        </w:rPr>
        <w:t>（</w:t>
      </w:r>
      <w:r>
        <w:rPr>
          <w:rFonts w:hint="eastAsia" w:ascii="楷体" w:hAnsi="楷体" w:eastAsia="楷体" w:cs="仿宋"/>
          <w:b w:val="0"/>
          <w:bCs/>
          <w:sz w:val="32"/>
          <w:szCs w:val="32"/>
        </w:rPr>
        <w:t>二）项目单位资金使用情况</w:t>
      </w:r>
    </w:p>
    <w:p>
      <w:pPr>
        <w:pStyle w:val="2"/>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2018年电子商务产业发展引导资金优先支持四个方面，</w:t>
      </w:r>
      <w:r>
        <w:rPr>
          <w:rFonts w:hint="eastAsia" w:ascii="仿宋" w:hAnsi="仿宋" w:eastAsia="仿宋" w:cs="仿宋"/>
          <w:b w:val="0"/>
          <w:bCs/>
          <w:kern w:val="0"/>
          <w:sz w:val="32"/>
          <w:szCs w:val="32"/>
        </w:rPr>
        <w:t>一是支持农产品生产和经营企业利用电子商务开展网上销售；二是支持特色产品生产企业和经营企业利用电子商务扩大销售；三是为本地产品的外销提供支撑服务的物流配送、技术服务、代运营的企业；四</w:t>
      </w:r>
      <w:r>
        <w:rPr>
          <w:rFonts w:hint="eastAsia" w:ascii="仿宋" w:hAnsi="仿宋" w:eastAsia="仿宋"/>
          <w:b w:val="0"/>
          <w:bCs/>
          <w:sz w:val="32"/>
          <w:szCs w:val="32"/>
        </w:rPr>
        <w:t>是对企业开设门户网站、自建自营网络平台进行平台建设补贴。</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00" w:firstLineChars="200"/>
        <w:jc w:val="both"/>
        <w:textAlignment w:val="auto"/>
        <w:rPr>
          <w:rFonts w:ascii="楷体" w:hAnsi="楷体" w:eastAsia="楷体" w:cs="楷体"/>
          <w:b w:val="0"/>
          <w:bCs/>
          <w:kern w:val="0"/>
          <w:sz w:val="30"/>
          <w:szCs w:val="30"/>
        </w:rPr>
      </w:pPr>
      <w:r>
        <w:rPr>
          <w:rFonts w:hint="eastAsia" w:ascii="楷体" w:hAnsi="楷体" w:eastAsia="楷体" w:cs="楷体"/>
          <w:b w:val="0"/>
          <w:bCs/>
          <w:kern w:val="0"/>
          <w:sz w:val="30"/>
          <w:szCs w:val="30"/>
        </w:rPr>
        <w:t>高新区项目资金实际使用情况：</w:t>
      </w:r>
    </w:p>
    <w:p>
      <w:pPr>
        <w:pStyle w:val="7"/>
        <w:keepNext w:val="0"/>
        <w:keepLines w:val="0"/>
        <w:pageBreakBefore w:val="0"/>
        <w:widowControl w:val="0"/>
        <w:numPr>
          <w:ilvl w:val="0"/>
          <w:numId w:val="1"/>
        </w:numPr>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兴盛社区网络服务股份有限公司：12万元主要用于芙蓉兴盛移动互联网平台（兴盛优选平台）的技术开发费用。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2、益阳大森林食品生物科技有限公司：10万元主要用于公司网店运营费用。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3、湖南楚牛香食品有限公司：5万元主要用于主要用于入驻苏宁易购电商平台开设旗舰店以及第三方技术服务方代运营服务费。</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4、湖南腾晟云大数据有限公司：10万元主要用于“美游益阳、益美益阳”网上商城软件建设维护和功能升级。</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5、益阳市加你商贸有限公司：5万元主要用于电商平台运营费用。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6、湖南百优一百农业开发有限公司：10万元主要用于自建平台的运营费用。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7、益阳林里香食品有限公司：15万元用于公司快递流水线设备改造和线上店铺平台销售推广费用。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8、益阳市福星食品有限公司：15万元用于产品线上推广费用。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9、益阳味芝元食品有限公司：12万元主要用于产品在天猫旗舰店的推广及技术支撑服务费用。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10、益阳市林瑞食品有限公司：5万元主要用于网上店铺推广，销售，以及技术服务支持和新型产品开发创新费用。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11、中国邮政速递物流股份有限公司益阳分公司：5万元主要用于快递物流运输、电子商务仓储费用。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12、益阳绿岛电子商务有限公司：6万元主要用于产品线上推广费用。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13、湖南递王科技有限公司：10万元主要用于技术研发升级、扩大技术及服务团队、服务器等硬件升级费用。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 xml:space="preserve"> 14、益阳东部中小企业服务有限公司：8万元主要用于支付软件购买及电商平台开发费用。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15、湖南指尖科技有限公司：8万元主要用于软件测试，服务器，安全组件方面费用。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16、湖南竹宜佳电子商务有限公司：5万元主要用于平台技术开发费用。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17、益阳市彩讯科技有限公司：10万元主要用于彩之云社区服务平台为基础，中小企业办公、孵化、培训、电商中心，孵化以农副产品为主的特色互联网科技企业孵化器的构建费用。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18、湖南天翔生态竹业科技有限公司：10万元主要用于网店运营，电商人才培训费，网络设备购置等费用。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19、益阳生祥商贸有限公司：8万元主要用于平台服务费和软件系统升级费用。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20、益阳市韵达快递有限公司：10万元主要用于快递设备投入费用（购买伸缩机2台）。</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21、益阳市园通快递有限公司：5万元元主要用于快递场地建设费用。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22、益阳搜空高科软件有限公司：12万元主要用于企业上云、电商扶贫、智慧旅游、渠道拓展四个方面平台技术开发业务费用。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23、益阳市壹送网络科技有限公司：5万元主要用于公司平台新功能的开发和系统稳定性的维护费用。</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24、益阳市高新区梅山力士茶行：3万元主要用于黑茶的线上推广及电商人才的培训费用。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方正仿宋简体" w:hAnsi="方正仿宋简体" w:eastAsia="方正仿宋简体" w:cs="方正仿宋简体"/>
          <w:b w:val="0"/>
          <w:bCs/>
          <w:sz w:val="32"/>
          <w:szCs w:val="32"/>
        </w:rPr>
      </w:pPr>
      <w:r>
        <w:rPr>
          <w:rFonts w:hint="eastAsia" w:ascii="楷体" w:hAnsi="楷体" w:eastAsia="楷体" w:cs="楷体"/>
          <w:b w:val="0"/>
          <w:bCs/>
          <w:kern w:val="0"/>
          <w:sz w:val="32"/>
          <w:szCs w:val="32"/>
        </w:rPr>
        <w:t>赫山区项目资金实际使用情况：</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1、益阳世林食品有限公司：10万元主要用于电商平台的运营费用。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2、益阳青松有限公司: 扶持9万元主要用于平台运营费用。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3、湖南黑美人茶业有限公司:10万元用于电子商务品牌推广建设和电子商务专业人员培训等费用。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4、湖南品尚信息科技有限公司：12万元用于易商乐管理系统的信息技术费、云服务等费用。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5、湖南旭荣制衣有限公司:9万元主要用于阿里巴巴、淘宝销、51校服平台、微信校服商城运营费用。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6、益阳市风帆制衣有限公司: 9万元用于阿里巴巴诚信通、淘宝、百度、京东推广，公司网站建设等费用。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7、益阳市农人公社电子商务有限公司:25万元用于培训妇女自主创业、“护农商城”电商平台的运营及电商人才的培训等费用。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8、益阳点到网上供销商务有限公司: 5万元用于平台运营费用。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9、益阳神奇草茶业有限公司:12万元主要用于网店升级、线上产品推广费用。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10、益阳市通达竹木制品有限公司:8万元全部用于阿里巴巴国际网站平台，阿里巴巴出口竹筷网络销售平台、阿里巴巴国际商务平台海外业务推广“外贸直通车”的建设费用。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11、益阳市君宇商贸有限公司:5万元用于批发通农村电商平台运营费用。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12、益阳市俊毅快递有限公司：6万元用于打造 “快捷物流+社区网点+智能终端”全新电商物流末端综合服务建设项目费用。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13、益阳市敦豪航空快件有限公司: 5万元用于快捷物流+社区网点+智能终端维护费用。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14、益阳天伦之城生态农牧发展有限公司:5万元用于平台的运营费用。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15、湖南泰禾网络科技有限公司:8万元主要用于在阿里巴巴商城和天猫旗舰店线上运营费用。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16、湖南振华农产品电子商务有限公司:6万元用于自建平台和第三方平台运营费用。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17、益阳和胜网络科技有限公司: 5万元用于第三方平台推广费用。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18、益阳市乡约农牧农业科技开发有限公司：5万元用于线上产品推广费用。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19、湖南竹泉农牧有限公司:5万元用于商城的销售与维护，公众号的运营与维护费用。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20、益阳市三超塑胶竹木有限公司:8万元用于阿里巴巴平台投入，网络技术人员培训费用。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21、益阳欣博农业发展有限公司：5万元主要用于平台硬件购置、农产品线上推广费用。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22、益阳湘域电子商务有限公司：5万元用于扶贫小店的推广及人员培训费用。</w:t>
      </w:r>
    </w:p>
    <w:p>
      <w:pPr>
        <w:pStyle w:val="2"/>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b w:val="0"/>
          <w:bCs/>
        </w:rPr>
      </w:pPr>
      <w:r>
        <w:rPr>
          <w:rFonts w:hint="eastAsia" w:ascii="楷体" w:hAnsi="楷体" w:eastAsia="楷体" w:cs="楷体"/>
          <w:b w:val="0"/>
          <w:bCs/>
          <w:kern w:val="0"/>
          <w:sz w:val="32"/>
          <w:szCs w:val="32"/>
        </w:rPr>
        <w:t>资阳区项目资金实际使用情况：</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1、益阳缺牙齿食品有限公司：10万元主要用于平台的推广、硬件设施的添置和电商从业人员的培训等费用。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2、湖南美食汇电子商务有限公司：10万元用于网店的运营费用。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3、湖南好兆头食品有限公司：10万元用于网络的维护与运营及电商平台服务费用。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4、益阳市资阳区鑫鑫副食商行：8万元扶持资金主要用于平台的推广及平台的维护和更新费用。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5、益阳市资阳区爱婴幼儿服饰有限公司：8万元主要用于平台的运营费用。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hint="eastAsia" w:ascii="仿宋" w:hAnsi="仿宋" w:eastAsia="仿宋"/>
          <w:b w:val="0"/>
          <w:bCs/>
          <w:sz w:val="32"/>
          <w:szCs w:val="32"/>
        </w:rPr>
      </w:pPr>
      <w:r>
        <w:rPr>
          <w:rFonts w:hint="eastAsia" w:ascii="仿宋" w:hAnsi="仿宋" w:eastAsia="仿宋"/>
          <w:b w:val="0"/>
          <w:bCs/>
          <w:sz w:val="32"/>
          <w:szCs w:val="32"/>
        </w:rPr>
        <w:t>6、益阳市陶伍肉食水产有限公司：5万元用于网销产品的推广及平台商服务费用。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7、益阳市青商创新创业有限公司：5万元用于网销产品的推广及平台服务费用。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8、湖南颐丰食品有限公司：5万元用于网销产品的推广及平台商服务费用。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9、湖南银城湘味食品有限公司：8万元主要用于网络的维护与运营及平台商服务费用。</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b w:val="0"/>
          <w:bCs/>
          <w:sz w:val="32"/>
          <w:szCs w:val="32"/>
        </w:rPr>
      </w:pPr>
      <w:r>
        <w:rPr>
          <w:rFonts w:hint="eastAsia" w:ascii="仿宋" w:hAnsi="仿宋" w:eastAsia="仿宋"/>
          <w:b w:val="0"/>
          <w:bCs/>
          <w:sz w:val="32"/>
          <w:szCs w:val="32"/>
        </w:rPr>
        <w:t>安化县冷市镇金湖村等</w:t>
      </w:r>
      <w:r>
        <w:rPr>
          <w:rFonts w:hint="eastAsia" w:ascii="仿宋" w:hAnsi="仿宋" w:eastAsia="仿宋"/>
          <w:b w:val="0"/>
          <w:bCs/>
          <w:sz w:val="32"/>
          <w:szCs w:val="32"/>
          <w:lang w:val="en-US" w:eastAsia="zh-CN"/>
        </w:rPr>
        <w:t>4</w:t>
      </w:r>
      <w:r>
        <w:rPr>
          <w:rFonts w:hint="eastAsia" w:ascii="仿宋" w:hAnsi="仿宋" w:eastAsia="仿宋"/>
          <w:b w:val="0"/>
          <w:bCs/>
          <w:sz w:val="32"/>
          <w:szCs w:val="32"/>
        </w:rPr>
        <w:t>个</w:t>
      </w:r>
      <w:r>
        <w:rPr>
          <w:rFonts w:hint="eastAsia" w:ascii="仿宋" w:hAnsi="仿宋" w:eastAsia="仿宋"/>
          <w:b w:val="0"/>
          <w:bCs/>
          <w:sz w:val="32"/>
          <w:szCs w:val="32"/>
          <w:lang w:eastAsia="zh-CN"/>
        </w:rPr>
        <w:t>贫困村</w:t>
      </w:r>
      <w:r>
        <w:rPr>
          <w:rFonts w:hint="eastAsia" w:ascii="仿宋" w:hAnsi="仿宋" w:eastAsia="仿宋"/>
          <w:b w:val="0"/>
          <w:bCs/>
          <w:sz w:val="32"/>
          <w:szCs w:val="32"/>
        </w:rPr>
        <w:t>（社区）各10万元主要用于电商</w:t>
      </w:r>
      <w:r>
        <w:rPr>
          <w:rFonts w:hint="eastAsia" w:ascii="仿宋" w:hAnsi="仿宋" w:eastAsia="仿宋"/>
          <w:b w:val="0"/>
          <w:bCs/>
          <w:sz w:val="32"/>
          <w:szCs w:val="32"/>
          <w:lang w:eastAsia="zh-CN"/>
        </w:rPr>
        <w:t>平台</w:t>
      </w:r>
      <w:r>
        <w:rPr>
          <w:rFonts w:hint="eastAsia" w:ascii="仿宋" w:hAnsi="仿宋" w:eastAsia="仿宋"/>
          <w:b w:val="0"/>
          <w:bCs/>
          <w:sz w:val="32"/>
          <w:szCs w:val="32"/>
        </w:rPr>
        <w:t>搭建和</w:t>
      </w:r>
      <w:r>
        <w:rPr>
          <w:rFonts w:hint="eastAsia" w:ascii="仿宋" w:hAnsi="仿宋" w:eastAsia="仿宋"/>
          <w:b w:val="0"/>
          <w:bCs/>
          <w:sz w:val="32"/>
          <w:szCs w:val="32"/>
          <w:lang w:eastAsia="zh-CN"/>
        </w:rPr>
        <w:t>线上产品</w:t>
      </w:r>
      <w:r>
        <w:rPr>
          <w:rFonts w:hint="eastAsia" w:ascii="仿宋" w:hAnsi="仿宋" w:eastAsia="仿宋"/>
          <w:b w:val="0"/>
          <w:bCs/>
          <w:sz w:val="32"/>
          <w:szCs w:val="32"/>
        </w:rPr>
        <w:t>宣传推广工作。</w:t>
      </w:r>
    </w:p>
    <w:p>
      <w:pPr>
        <w:pStyle w:val="17"/>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Style w:val="12"/>
          <w:rFonts w:ascii="Times New Roman" w:hAnsi="Times New Roman" w:eastAsia="仿宋" w:cs="Times New Roman"/>
          <w:b w:val="0"/>
          <w:bCs/>
          <w:color w:val="auto"/>
          <w:lang w:eastAsia="zh-CN"/>
        </w:rPr>
      </w:pPr>
      <w:r>
        <w:rPr>
          <w:rFonts w:hint="eastAsia" w:ascii="楷体" w:hAnsi="楷体" w:eastAsia="楷体" w:cs="仿宋"/>
          <w:b w:val="0"/>
          <w:bCs/>
          <w:sz w:val="32"/>
          <w:szCs w:val="32"/>
        </w:rPr>
        <w:t>（三）整体效益。</w:t>
      </w:r>
      <w:r>
        <w:rPr>
          <w:rStyle w:val="12"/>
          <w:rFonts w:hint="eastAsia" w:ascii="仿宋" w:hAnsi="仿宋" w:eastAsia="仿宋" w:cs="仿宋"/>
          <w:b w:val="0"/>
          <w:bCs/>
        </w:rPr>
        <w:t>我市现有电商企业</w:t>
      </w:r>
      <w:r>
        <w:rPr>
          <w:rStyle w:val="12"/>
          <w:rFonts w:hint="eastAsia" w:ascii="仿宋" w:hAnsi="仿宋" w:eastAsia="仿宋" w:cs="仿宋"/>
          <w:b w:val="0"/>
          <w:bCs/>
          <w:lang w:eastAsia="zh-CN"/>
        </w:rPr>
        <w:t>、个体工商户等近2万家。</w:t>
      </w:r>
      <w:r>
        <w:rPr>
          <w:rFonts w:hint="eastAsia" w:ascii="仿宋" w:hAnsi="仿宋" w:eastAsia="仿宋"/>
          <w:b w:val="0"/>
          <w:bCs/>
          <w:sz w:val="32"/>
          <w:szCs w:val="32"/>
        </w:rPr>
        <w:t>2014年全市电子商务交易额80亿元，</w:t>
      </w:r>
      <w:r>
        <w:rPr>
          <w:rStyle w:val="13"/>
          <w:rFonts w:ascii="仿宋" w:hAnsi="仿宋" w:eastAsia="仿宋" w:cs="仿宋"/>
          <w:b w:val="0"/>
          <w:bCs/>
          <w:sz w:val="32"/>
          <w:szCs w:val="32"/>
          <w:lang w:val="en-US"/>
        </w:rPr>
        <w:t>2015</w:t>
      </w:r>
      <w:r>
        <w:rPr>
          <w:rStyle w:val="12"/>
          <w:rFonts w:hint="eastAsia" w:ascii="仿宋" w:hAnsi="仿宋" w:eastAsia="仿宋" w:cs="仿宋"/>
          <w:b w:val="0"/>
          <w:bCs/>
        </w:rPr>
        <w:t>年电子商务交易额</w:t>
      </w:r>
      <w:r>
        <w:rPr>
          <w:rStyle w:val="13"/>
          <w:rFonts w:ascii="仿宋" w:hAnsi="仿宋" w:eastAsia="仿宋" w:cs="仿宋"/>
          <w:b w:val="0"/>
          <w:bCs/>
          <w:sz w:val="32"/>
          <w:szCs w:val="32"/>
          <w:lang w:val="en-US"/>
        </w:rPr>
        <w:t>160</w:t>
      </w:r>
      <w:r>
        <w:rPr>
          <w:rStyle w:val="12"/>
          <w:rFonts w:hint="eastAsia" w:ascii="仿宋" w:hAnsi="仿宋" w:eastAsia="仿宋" w:cs="仿宋"/>
          <w:b w:val="0"/>
          <w:bCs/>
        </w:rPr>
        <w:t>亿元</w:t>
      </w:r>
      <w:r>
        <w:rPr>
          <w:rStyle w:val="12"/>
          <w:rFonts w:hint="eastAsia" w:ascii="仿宋" w:hAnsi="仿宋" w:eastAsia="仿宋" w:cs="仿宋"/>
          <w:b w:val="0"/>
          <w:bCs/>
          <w:lang w:eastAsia="zh-CN"/>
        </w:rPr>
        <w:t>，</w:t>
      </w:r>
      <w:r>
        <w:rPr>
          <w:rStyle w:val="12"/>
          <w:rFonts w:ascii="仿宋" w:hAnsi="仿宋" w:eastAsia="仿宋" w:cs="仿宋"/>
          <w:b w:val="0"/>
          <w:bCs/>
          <w:lang w:eastAsia="zh-CN"/>
        </w:rPr>
        <w:t>2016</w:t>
      </w:r>
      <w:r>
        <w:rPr>
          <w:rStyle w:val="12"/>
          <w:rFonts w:hint="eastAsia" w:ascii="仿宋" w:hAnsi="仿宋" w:eastAsia="仿宋" w:cs="仿宋"/>
          <w:b w:val="0"/>
          <w:bCs/>
          <w:lang w:eastAsia="zh-CN"/>
        </w:rPr>
        <w:t>年</w:t>
      </w:r>
      <w:r>
        <w:rPr>
          <w:rStyle w:val="12"/>
          <w:rFonts w:hint="eastAsia" w:ascii="仿宋" w:hAnsi="仿宋" w:eastAsia="仿宋" w:cs="仿宋"/>
          <w:b w:val="0"/>
          <w:bCs/>
        </w:rPr>
        <w:t>电子商务交易额</w:t>
      </w:r>
      <w:r>
        <w:rPr>
          <w:rStyle w:val="12"/>
          <w:rFonts w:ascii="仿宋" w:hAnsi="仿宋" w:eastAsia="仿宋" w:cs="仿宋"/>
          <w:b w:val="0"/>
          <w:bCs/>
          <w:lang w:eastAsia="zh-CN"/>
        </w:rPr>
        <w:t>20</w:t>
      </w:r>
      <w:r>
        <w:rPr>
          <w:rStyle w:val="12"/>
          <w:rFonts w:hint="eastAsia" w:ascii="仿宋" w:hAnsi="仿宋" w:eastAsia="仿宋" w:cs="仿宋"/>
          <w:b w:val="0"/>
          <w:bCs/>
          <w:lang w:val="en-US" w:eastAsia="zh-CN"/>
        </w:rPr>
        <w:t>2</w:t>
      </w:r>
      <w:r>
        <w:rPr>
          <w:rStyle w:val="12"/>
          <w:rFonts w:hint="eastAsia" w:ascii="仿宋" w:hAnsi="仿宋" w:eastAsia="仿宋" w:cs="仿宋"/>
          <w:b w:val="0"/>
          <w:bCs/>
          <w:lang w:eastAsia="zh-CN"/>
        </w:rPr>
        <w:t>亿元</w:t>
      </w:r>
      <w:r>
        <w:rPr>
          <w:rStyle w:val="12"/>
          <w:rFonts w:hint="eastAsia" w:ascii="仿宋" w:hAnsi="仿宋" w:eastAsia="仿宋" w:cs="仿宋"/>
          <w:b w:val="0"/>
          <w:bCs/>
        </w:rPr>
        <w:t>，</w:t>
      </w:r>
      <w:r>
        <w:rPr>
          <w:rStyle w:val="12"/>
          <w:rFonts w:ascii="仿宋" w:hAnsi="仿宋" w:eastAsia="仿宋" w:cs="仿宋"/>
          <w:b w:val="0"/>
          <w:bCs/>
          <w:lang w:eastAsia="zh-CN"/>
        </w:rPr>
        <w:t>201</w:t>
      </w:r>
      <w:r>
        <w:rPr>
          <w:rStyle w:val="12"/>
          <w:rFonts w:hint="eastAsia" w:ascii="仿宋" w:hAnsi="仿宋" w:eastAsia="仿宋" w:cs="仿宋"/>
          <w:b w:val="0"/>
          <w:bCs/>
          <w:lang w:val="en-US" w:eastAsia="zh-CN"/>
        </w:rPr>
        <w:t>7</w:t>
      </w:r>
      <w:r>
        <w:rPr>
          <w:rStyle w:val="12"/>
          <w:rFonts w:hint="eastAsia" w:ascii="仿宋" w:hAnsi="仿宋" w:eastAsia="仿宋" w:cs="仿宋"/>
          <w:b w:val="0"/>
          <w:bCs/>
          <w:lang w:eastAsia="zh-CN"/>
        </w:rPr>
        <w:t>年</w:t>
      </w:r>
      <w:r>
        <w:rPr>
          <w:rStyle w:val="12"/>
          <w:rFonts w:hint="eastAsia" w:ascii="仿宋" w:hAnsi="仿宋" w:eastAsia="仿宋" w:cs="仿宋"/>
          <w:b w:val="0"/>
          <w:bCs/>
        </w:rPr>
        <w:t>电子商务交易额</w:t>
      </w:r>
      <w:r>
        <w:rPr>
          <w:rStyle w:val="12"/>
          <w:rFonts w:hint="eastAsia" w:ascii="仿宋" w:hAnsi="仿宋" w:eastAsia="仿宋" w:cs="仿宋"/>
          <w:b w:val="0"/>
          <w:bCs/>
          <w:lang w:val="en-US" w:eastAsia="zh-CN"/>
        </w:rPr>
        <w:t>395</w:t>
      </w:r>
      <w:r>
        <w:rPr>
          <w:rStyle w:val="12"/>
          <w:rFonts w:hint="eastAsia" w:ascii="仿宋" w:hAnsi="仿宋" w:eastAsia="仿宋" w:cs="仿宋"/>
          <w:b w:val="0"/>
          <w:bCs/>
          <w:lang w:eastAsia="zh-CN"/>
        </w:rPr>
        <w:t>亿元，</w:t>
      </w:r>
      <w:r>
        <w:rPr>
          <w:rFonts w:ascii="仿宋" w:hAnsi="仿宋" w:eastAsia="仿宋"/>
          <w:b w:val="0"/>
          <w:bCs/>
          <w:sz w:val="32"/>
          <w:szCs w:val="32"/>
        </w:rPr>
        <w:t xml:space="preserve"> 201</w:t>
      </w:r>
      <w:r>
        <w:rPr>
          <w:rFonts w:hint="eastAsia" w:ascii="仿宋" w:hAnsi="仿宋" w:eastAsia="仿宋"/>
          <w:b w:val="0"/>
          <w:bCs/>
          <w:sz w:val="32"/>
          <w:szCs w:val="32"/>
        </w:rPr>
        <w:t>8</w:t>
      </w:r>
      <w:r>
        <w:rPr>
          <w:rFonts w:ascii="仿宋" w:hAnsi="仿宋" w:eastAsia="仿宋"/>
          <w:b w:val="0"/>
          <w:bCs/>
          <w:sz w:val="32"/>
          <w:szCs w:val="32"/>
        </w:rPr>
        <w:t>年，益阳市电子商务交易额</w:t>
      </w:r>
      <w:r>
        <w:rPr>
          <w:rFonts w:hint="eastAsia" w:ascii="仿宋" w:hAnsi="仿宋" w:eastAsia="仿宋"/>
          <w:b w:val="0"/>
          <w:bCs/>
          <w:sz w:val="32"/>
          <w:szCs w:val="32"/>
        </w:rPr>
        <w:t>457.18</w:t>
      </w:r>
      <w:r>
        <w:rPr>
          <w:rFonts w:ascii="仿宋" w:hAnsi="仿宋" w:eastAsia="仿宋"/>
          <w:b w:val="0"/>
          <w:bCs/>
          <w:sz w:val="32"/>
          <w:szCs w:val="32"/>
        </w:rPr>
        <w:t>亿元，</w:t>
      </w:r>
      <w:r>
        <w:rPr>
          <w:rStyle w:val="12"/>
          <w:rFonts w:hint="eastAsia" w:ascii="仿宋" w:hAnsi="仿宋" w:eastAsia="仿宋" w:cs="仿宋"/>
          <w:b w:val="0"/>
          <w:bCs/>
        </w:rPr>
        <w:t>交易总额和增速都处在全省的前列。</w:t>
      </w:r>
      <w:r>
        <w:rPr>
          <w:rStyle w:val="12"/>
          <w:rFonts w:hint="eastAsia" w:ascii="仿宋" w:hAnsi="仿宋" w:eastAsia="仿宋" w:cs="仿宋"/>
          <w:b w:val="0"/>
          <w:bCs/>
          <w:lang w:eastAsia="zh-CN"/>
        </w:rPr>
        <w:t>目前，全市</w:t>
      </w:r>
      <w:r>
        <w:rPr>
          <w:rStyle w:val="12"/>
          <w:rFonts w:hint="eastAsia" w:ascii="仿宋" w:hAnsi="仿宋" w:eastAsia="仿宋" w:cs="仿宋"/>
          <w:b w:val="0"/>
          <w:bCs/>
        </w:rPr>
        <w:t>电子商务产业已融入到文化、旅游、金融、生活服务等相关领域，发展态势迅猛。安化黑茶、桃江竹制品、沅江</w:t>
      </w:r>
      <w:r>
        <w:rPr>
          <w:rStyle w:val="12"/>
          <w:rFonts w:hint="eastAsia" w:ascii="仿宋" w:hAnsi="仿宋" w:eastAsia="仿宋" w:cs="仿宋"/>
          <w:b w:val="0"/>
          <w:bCs/>
          <w:lang w:val="zh-CN" w:eastAsia="zh-CN"/>
        </w:rPr>
        <w:t>芦笋</w:t>
      </w:r>
      <w:r>
        <w:rPr>
          <w:rStyle w:val="12"/>
          <w:rFonts w:hint="eastAsia" w:ascii="仿宋" w:hAnsi="仿宋" w:eastAsia="仿宋" w:cs="仿宋"/>
          <w:b w:val="0"/>
          <w:bCs/>
        </w:rPr>
        <w:t>、</w:t>
      </w:r>
      <w:r>
        <w:rPr>
          <w:rStyle w:val="12"/>
          <w:rFonts w:hint="eastAsia" w:ascii="仿宋" w:hAnsi="仿宋" w:eastAsia="仿宋" w:cs="仿宋"/>
          <w:b w:val="0"/>
          <w:bCs/>
          <w:lang w:val="zh-CN" w:eastAsia="zh-CN"/>
        </w:rPr>
        <w:t>瑜伽服广场服</w:t>
      </w:r>
      <w:r>
        <w:rPr>
          <w:rStyle w:val="12"/>
          <w:rFonts w:hint="eastAsia" w:ascii="仿宋" w:hAnsi="仿宋" w:eastAsia="仿宋" w:cs="仿宋"/>
          <w:b w:val="0"/>
          <w:bCs/>
        </w:rPr>
        <w:t>、</w:t>
      </w:r>
      <w:r>
        <w:rPr>
          <w:rStyle w:val="12"/>
          <w:rFonts w:hint="eastAsia" w:ascii="仿宋" w:hAnsi="仿宋" w:eastAsia="仿宋" w:cs="仿宋"/>
          <w:b w:val="0"/>
          <w:bCs/>
          <w:lang w:val="zh-CN" w:eastAsia="zh-CN"/>
        </w:rPr>
        <w:t>水产品、休闲食品、婴幼儿服饰用品等</w:t>
      </w:r>
      <w:r>
        <w:rPr>
          <w:rStyle w:val="12"/>
          <w:rFonts w:ascii="仿宋" w:hAnsi="仿宋" w:eastAsia="仿宋" w:cs="仿宋"/>
          <w:b w:val="0"/>
          <w:bCs/>
          <w:lang w:val="zh-CN" w:eastAsia="zh-CN"/>
        </w:rPr>
        <w:t>7</w:t>
      </w:r>
      <w:r>
        <w:rPr>
          <w:rStyle w:val="12"/>
          <w:rFonts w:hint="eastAsia" w:ascii="仿宋" w:hAnsi="仿宋" w:eastAsia="仿宋" w:cs="仿宋"/>
          <w:b w:val="0"/>
          <w:bCs/>
          <w:lang w:val="zh-CN" w:eastAsia="zh-CN"/>
        </w:rPr>
        <w:t>大类产品</w:t>
      </w:r>
      <w:r>
        <w:rPr>
          <w:rStyle w:val="12"/>
          <w:rFonts w:hint="eastAsia" w:ascii="仿宋" w:hAnsi="仿宋" w:eastAsia="仿宋" w:cs="仿宋"/>
          <w:b w:val="0"/>
          <w:bCs/>
        </w:rPr>
        <w:t>，</w:t>
      </w:r>
      <w:r>
        <w:rPr>
          <w:rStyle w:val="12"/>
          <w:rFonts w:hint="eastAsia" w:ascii="仿宋" w:hAnsi="仿宋" w:eastAsia="仿宋" w:cs="仿宋"/>
          <w:b w:val="0"/>
          <w:bCs/>
          <w:lang w:val="zh-CN" w:eastAsia="zh-CN"/>
        </w:rPr>
        <w:t>占据全省电商销量榜首。</w:t>
      </w:r>
      <w:r>
        <w:rPr>
          <w:rStyle w:val="12"/>
          <w:rFonts w:ascii="Times New Roman" w:hAnsi="仿宋" w:eastAsia="仿宋" w:cs="Times New Roman"/>
          <w:b w:val="0"/>
          <w:bCs/>
          <w:color w:val="auto"/>
        </w:rPr>
        <w:t>其中，桃江竹凉席的电子商务销售额排在淘宝</w:t>
      </w:r>
      <w:r>
        <w:rPr>
          <w:rStyle w:val="12"/>
          <w:rFonts w:ascii="Times New Roman" w:hAnsi="仿宋" w:eastAsia="仿宋" w:cs="Times New Roman"/>
          <w:b w:val="0"/>
          <w:bCs/>
          <w:color w:val="auto"/>
          <w:lang w:eastAsia="zh-CN"/>
        </w:rPr>
        <w:t>、天猫、京东等第一位</w:t>
      </w:r>
      <w:r>
        <w:rPr>
          <w:rStyle w:val="12"/>
          <w:rFonts w:ascii="Times New Roman" w:hAnsi="仿宋" w:eastAsia="仿宋" w:cs="Times New Roman"/>
          <w:b w:val="0"/>
          <w:bCs/>
          <w:color w:val="auto"/>
        </w:rPr>
        <w:t>，占全国</w:t>
      </w:r>
      <w:r>
        <w:rPr>
          <w:rStyle w:val="12"/>
          <w:rFonts w:ascii="Times New Roman" w:hAnsi="仿宋" w:eastAsia="仿宋" w:cs="Times New Roman"/>
          <w:b w:val="0"/>
          <w:bCs/>
          <w:color w:val="auto"/>
          <w:lang w:eastAsia="zh-CN"/>
        </w:rPr>
        <w:t>网上销售的</w:t>
      </w:r>
      <w:r>
        <w:rPr>
          <w:rStyle w:val="13"/>
          <w:rFonts w:ascii="Times New Roman" w:hAnsi="Times New Roman" w:eastAsia="仿宋" w:cs="Times New Roman"/>
          <w:b w:val="0"/>
          <w:bCs/>
          <w:color w:val="auto"/>
          <w:sz w:val="32"/>
          <w:szCs w:val="32"/>
          <w:lang w:eastAsia="zh-CN"/>
        </w:rPr>
        <w:t>7</w:t>
      </w:r>
      <w:r>
        <w:rPr>
          <w:rStyle w:val="13"/>
          <w:rFonts w:ascii="Times New Roman" w:hAnsi="Times New Roman" w:eastAsia="仿宋" w:cs="Times New Roman"/>
          <w:b w:val="0"/>
          <w:bCs/>
          <w:color w:val="auto"/>
          <w:sz w:val="32"/>
          <w:szCs w:val="32"/>
        </w:rPr>
        <w:t>0</w:t>
      </w:r>
      <w:r>
        <w:rPr>
          <w:rStyle w:val="13"/>
          <w:rFonts w:ascii="Times New Roman" w:hAnsi="仿宋" w:eastAsia="仿宋" w:cs="Times New Roman"/>
          <w:b w:val="0"/>
          <w:bCs/>
          <w:color w:val="auto"/>
          <w:sz w:val="32"/>
          <w:szCs w:val="32"/>
          <w:lang w:val="zh-CN"/>
        </w:rPr>
        <w:t>％</w:t>
      </w:r>
      <w:r>
        <w:rPr>
          <w:rStyle w:val="12"/>
          <w:rFonts w:ascii="Times New Roman" w:hAnsi="仿宋" w:eastAsia="仿宋" w:cs="Times New Roman"/>
          <w:b w:val="0"/>
          <w:bCs/>
          <w:color w:val="auto"/>
        </w:rPr>
        <w:t>以上，婴儿服饰、广场舞蹈服线上交易量占全国市场份额</w:t>
      </w:r>
      <w:r>
        <w:rPr>
          <w:rStyle w:val="13"/>
          <w:rFonts w:ascii="Times New Roman" w:hAnsi="Times New Roman" w:eastAsia="仿宋" w:cs="Times New Roman"/>
          <w:b w:val="0"/>
          <w:bCs/>
          <w:color w:val="auto"/>
          <w:sz w:val="32"/>
          <w:szCs w:val="32"/>
        </w:rPr>
        <w:t>40</w:t>
      </w:r>
      <w:r>
        <w:rPr>
          <w:rStyle w:val="13"/>
          <w:rFonts w:ascii="Times New Roman" w:hAnsi="仿宋" w:eastAsia="仿宋" w:cs="Times New Roman"/>
          <w:b w:val="0"/>
          <w:bCs/>
          <w:color w:val="auto"/>
          <w:sz w:val="32"/>
          <w:szCs w:val="32"/>
          <w:lang w:val="zh-CN"/>
        </w:rPr>
        <w:t>％</w:t>
      </w:r>
      <w:r>
        <w:rPr>
          <w:rStyle w:val="12"/>
          <w:rFonts w:ascii="Times New Roman" w:hAnsi="仿宋" w:eastAsia="仿宋" w:cs="Times New Roman"/>
          <w:b w:val="0"/>
          <w:bCs/>
          <w:color w:val="auto"/>
        </w:rPr>
        <w:t>以上。南县与阿里巴巴合作建设农村淘宝，</w:t>
      </w:r>
      <w:r>
        <w:rPr>
          <w:rStyle w:val="12"/>
          <w:rFonts w:ascii="Times New Roman" w:hAnsi="Times New Roman" w:eastAsia="仿宋" w:cs="Times New Roman"/>
          <w:b w:val="0"/>
          <w:bCs/>
          <w:color w:val="auto"/>
        </w:rPr>
        <w:t>201</w:t>
      </w:r>
      <w:r>
        <w:rPr>
          <w:rStyle w:val="12"/>
          <w:rFonts w:ascii="Times New Roman" w:hAnsi="Times New Roman" w:eastAsia="仿宋" w:cs="Times New Roman"/>
          <w:b w:val="0"/>
          <w:bCs/>
          <w:color w:val="auto"/>
          <w:lang w:eastAsia="zh-CN"/>
        </w:rPr>
        <w:t>7</w:t>
      </w:r>
      <w:r>
        <w:rPr>
          <w:rStyle w:val="12"/>
          <w:rFonts w:ascii="Times New Roman" w:hAnsi="仿宋" w:eastAsia="仿宋" w:cs="Times New Roman"/>
          <w:b w:val="0"/>
          <w:bCs/>
          <w:color w:val="auto"/>
        </w:rPr>
        <w:t>年仅小龙虾实现线上交易额达</w:t>
      </w:r>
      <w:r>
        <w:rPr>
          <w:rStyle w:val="12"/>
          <w:rFonts w:ascii="Times New Roman" w:hAnsi="Times New Roman" w:eastAsia="仿宋" w:cs="Times New Roman"/>
          <w:b w:val="0"/>
          <w:bCs/>
          <w:color w:val="auto"/>
          <w:lang w:eastAsia="zh-CN"/>
        </w:rPr>
        <w:t>3</w:t>
      </w:r>
      <w:r>
        <w:rPr>
          <w:rStyle w:val="12"/>
          <w:rFonts w:ascii="Times New Roman" w:hAnsi="Times New Roman" w:eastAsia="仿宋" w:cs="Times New Roman"/>
          <w:b w:val="0"/>
          <w:bCs/>
          <w:color w:val="auto"/>
        </w:rPr>
        <w:t>200</w:t>
      </w:r>
      <w:r>
        <w:rPr>
          <w:rStyle w:val="12"/>
          <w:rFonts w:ascii="Times New Roman" w:hAnsi="仿宋" w:eastAsia="仿宋" w:cs="Times New Roman"/>
          <w:b w:val="0"/>
          <w:bCs/>
          <w:color w:val="auto"/>
        </w:rPr>
        <w:t>余万元。高新区中南电子商务产业园获批国家电子商务示范基地，桃江县</w:t>
      </w:r>
      <w:r>
        <w:rPr>
          <w:rStyle w:val="12"/>
          <w:rFonts w:ascii="Times New Roman" w:hAnsi="仿宋" w:eastAsia="仿宋" w:cs="Times New Roman"/>
          <w:b w:val="0"/>
          <w:bCs/>
          <w:color w:val="auto"/>
          <w:lang w:eastAsia="zh-CN"/>
        </w:rPr>
        <w:t>、安化县先后</w:t>
      </w:r>
      <w:r>
        <w:rPr>
          <w:rStyle w:val="12"/>
          <w:rFonts w:ascii="Times New Roman" w:hAnsi="仿宋" w:eastAsia="仿宋" w:cs="Times New Roman"/>
          <w:b w:val="0"/>
          <w:bCs/>
          <w:color w:val="auto"/>
        </w:rPr>
        <w:t>获批电子商务进农村全国综合</w:t>
      </w:r>
      <w:r>
        <w:rPr>
          <w:rStyle w:val="12"/>
          <w:rFonts w:ascii="Times New Roman" w:hAnsi="仿宋" w:eastAsia="仿宋" w:cs="Times New Roman"/>
          <w:b w:val="0"/>
          <w:bCs/>
          <w:color w:val="auto"/>
          <w:lang w:eastAsia="zh-CN"/>
        </w:rPr>
        <w:t>示范</w:t>
      </w:r>
      <w:r>
        <w:rPr>
          <w:rStyle w:val="12"/>
          <w:rFonts w:ascii="Times New Roman" w:hAnsi="仿宋" w:eastAsia="仿宋" w:cs="Times New Roman"/>
          <w:b w:val="0"/>
          <w:bCs/>
          <w:color w:val="auto"/>
        </w:rPr>
        <w:t>县</w:t>
      </w:r>
      <w:r>
        <w:rPr>
          <w:rStyle w:val="12"/>
          <w:rFonts w:hint="eastAsia" w:ascii="Times New Roman" w:hAnsi="仿宋" w:eastAsia="仿宋" w:cs="Times New Roman"/>
          <w:b w:val="0"/>
          <w:bCs/>
          <w:color w:val="auto"/>
          <w:lang w:eastAsia="zh-CN"/>
        </w:rPr>
        <w:t>，</w:t>
      </w:r>
      <w:r>
        <w:rPr>
          <w:rStyle w:val="12"/>
          <w:rFonts w:ascii="Times New Roman" w:hAnsi="仿宋" w:eastAsia="仿宋" w:cs="Times New Roman"/>
          <w:b w:val="0"/>
          <w:bCs/>
          <w:color w:val="auto"/>
        </w:rPr>
        <w:t>搜空高科、</w:t>
      </w:r>
      <w:r>
        <w:rPr>
          <w:rStyle w:val="12"/>
          <w:rFonts w:ascii="Times New Roman" w:hAnsi="仿宋" w:eastAsia="仿宋" w:cs="Times New Roman"/>
          <w:b w:val="0"/>
          <w:bCs/>
        </w:rPr>
        <w:t>宏兴服饰、</w:t>
      </w:r>
      <w:r>
        <w:rPr>
          <w:rStyle w:val="12"/>
          <w:rFonts w:ascii="Times New Roman" w:hAnsi="仿宋" w:eastAsia="仿宋" w:cs="Times New Roman"/>
          <w:b w:val="0"/>
          <w:bCs/>
          <w:color w:val="auto"/>
        </w:rPr>
        <w:t>春龙竹业、瑞兹竹业、兴盛社区、竹之韵竹业、百年家居</w:t>
      </w:r>
      <w:r>
        <w:rPr>
          <w:rStyle w:val="12"/>
          <w:rFonts w:hint="eastAsia" w:ascii="Times New Roman" w:hAnsi="仿宋" w:eastAsia="仿宋" w:cs="Times New Roman"/>
          <w:b w:val="0"/>
          <w:bCs/>
          <w:color w:val="auto"/>
          <w:lang w:eastAsia="zh-CN"/>
        </w:rPr>
        <w:t>、林里香</w:t>
      </w:r>
      <w:r>
        <w:rPr>
          <w:rStyle w:val="12"/>
          <w:rFonts w:ascii="Times New Roman" w:hAnsi="仿宋" w:eastAsia="仿宋" w:cs="Times New Roman"/>
          <w:b w:val="0"/>
          <w:bCs/>
          <w:color w:val="auto"/>
          <w:lang w:val="zh-CN"/>
        </w:rPr>
        <w:t>等</w:t>
      </w:r>
      <w:r>
        <w:rPr>
          <w:rStyle w:val="13"/>
          <w:rFonts w:hint="eastAsia" w:ascii="Times New Roman" w:hAnsi="Times New Roman" w:eastAsia="仿宋" w:cs="Times New Roman"/>
          <w:b w:val="0"/>
          <w:bCs/>
          <w:color w:val="auto"/>
          <w:sz w:val="32"/>
          <w:szCs w:val="32"/>
          <w:lang w:val="en-US" w:eastAsia="zh-CN"/>
        </w:rPr>
        <w:t>8</w:t>
      </w:r>
      <w:r>
        <w:rPr>
          <w:rStyle w:val="12"/>
          <w:rFonts w:ascii="Times New Roman" w:hAnsi="仿宋" w:eastAsia="仿宋" w:cs="Times New Roman"/>
          <w:b w:val="0"/>
          <w:bCs/>
          <w:color w:val="auto"/>
        </w:rPr>
        <w:t>家企业先后获评省电子商务示范企业</w:t>
      </w:r>
      <w:r>
        <w:rPr>
          <w:rStyle w:val="12"/>
          <w:rFonts w:hint="eastAsia" w:ascii="Times New Roman" w:hAnsi="仿宋" w:eastAsia="仿宋" w:cs="Times New Roman"/>
          <w:b w:val="0"/>
          <w:bCs/>
          <w:color w:val="auto"/>
          <w:lang w:eastAsia="zh-CN"/>
        </w:rPr>
        <w:t>，</w:t>
      </w:r>
      <w:r>
        <w:rPr>
          <w:rStyle w:val="12"/>
          <w:rFonts w:ascii="Times New Roman" w:hAnsi="仿宋" w:eastAsia="仿宋" w:cs="Times New Roman"/>
          <w:b w:val="0"/>
          <w:bCs/>
          <w:color w:val="auto"/>
        </w:rPr>
        <w:t>兴盛社区</w:t>
      </w:r>
      <w:r>
        <w:rPr>
          <w:rStyle w:val="12"/>
          <w:rFonts w:ascii="Times New Roman" w:hAnsi="仿宋" w:eastAsia="仿宋" w:cs="Times New Roman"/>
          <w:b w:val="0"/>
          <w:bCs/>
          <w:color w:val="auto"/>
          <w:lang w:eastAsia="zh-CN"/>
        </w:rPr>
        <w:t>入</w:t>
      </w:r>
      <w:r>
        <w:rPr>
          <w:rStyle w:val="12"/>
          <w:rFonts w:ascii="Times New Roman" w:hAnsi="仿宋" w:eastAsia="仿宋" w:cs="Times New Roman"/>
          <w:b w:val="0"/>
          <w:bCs/>
          <w:color w:val="auto"/>
        </w:rPr>
        <w:t>选商务部</w:t>
      </w:r>
      <w:r>
        <w:rPr>
          <w:rStyle w:val="12"/>
          <w:rFonts w:ascii="Times New Roman" w:hAnsi="Times New Roman" w:eastAsia="仿宋" w:cs="Times New Roman"/>
          <w:b w:val="0"/>
          <w:bCs/>
          <w:color w:val="auto"/>
        </w:rPr>
        <w:t>2017-2018</w:t>
      </w:r>
      <w:r>
        <w:rPr>
          <w:rStyle w:val="12"/>
          <w:rFonts w:ascii="Times New Roman" w:hAnsi="仿宋" w:eastAsia="仿宋" w:cs="Times New Roman"/>
          <w:b w:val="0"/>
          <w:bCs/>
          <w:color w:val="auto"/>
        </w:rPr>
        <w:t>年度电子商务示范企业</w:t>
      </w:r>
      <w:r>
        <w:rPr>
          <w:rStyle w:val="12"/>
          <w:rFonts w:ascii="Times New Roman" w:hAnsi="仿宋" w:eastAsia="仿宋" w:cs="Times New Roman"/>
          <w:b w:val="0"/>
          <w:bCs/>
          <w:color w:val="auto"/>
          <w:lang w:eastAsia="zh-CN"/>
        </w:rPr>
        <w:t>。</w:t>
      </w:r>
      <w:r>
        <w:rPr>
          <w:rFonts w:ascii="仿宋" w:hAnsi="仿宋" w:eastAsia="仿宋"/>
          <w:b w:val="0"/>
          <w:bCs/>
          <w:sz w:val="32"/>
          <w:szCs w:val="32"/>
        </w:rPr>
        <w:t>根据201</w:t>
      </w:r>
      <w:r>
        <w:rPr>
          <w:rFonts w:hint="eastAsia" w:ascii="仿宋" w:hAnsi="仿宋" w:eastAsia="仿宋"/>
          <w:b w:val="0"/>
          <w:bCs/>
          <w:sz w:val="32"/>
          <w:szCs w:val="32"/>
        </w:rPr>
        <w:t>8</w:t>
      </w:r>
      <w:r>
        <w:rPr>
          <w:rFonts w:ascii="仿宋" w:hAnsi="仿宋" w:eastAsia="仿宋"/>
          <w:b w:val="0"/>
          <w:bCs/>
          <w:sz w:val="32"/>
          <w:szCs w:val="32"/>
        </w:rPr>
        <w:t>年湖南省电子商务报告，</w:t>
      </w:r>
      <w:r>
        <w:rPr>
          <w:rStyle w:val="12"/>
          <w:rFonts w:hint="eastAsia" w:ascii="Times New Roman" w:hAnsi="仿宋" w:eastAsia="仿宋" w:cs="Times New Roman"/>
          <w:b w:val="0"/>
          <w:bCs/>
          <w:color w:val="auto"/>
          <w:lang w:val="en-US" w:eastAsia="zh-CN"/>
        </w:rPr>
        <w:t xml:space="preserve"> 2018年</w:t>
      </w:r>
      <w:r>
        <w:rPr>
          <w:rFonts w:eastAsia="仿宋"/>
          <w:b w:val="0"/>
          <w:bCs/>
          <w:sz w:val="32"/>
          <w:szCs w:val="32"/>
        </w:rPr>
        <w:t>全市农特产品网络售销售</w:t>
      </w:r>
      <w:r>
        <w:rPr>
          <w:rFonts w:hint="eastAsia" w:eastAsia="仿宋"/>
          <w:b w:val="0"/>
          <w:bCs/>
          <w:sz w:val="32"/>
          <w:szCs w:val="32"/>
        </w:rPr>
        <w:t>50</w:t>
      </w:r>
      <w:r>
        <w:rPr>
          <w:rFonts w:eastAsia="仿宋"/>
          <w:b w:val="0"/>
          <w:bCs/>
          <w:sz w:val="32"/>
          <w:szCs w:val="32"/>
        </w:rPr>
        <w:t>亿元以上，带动</w:t>
      </w:r>
      <w:r>
        <w:rPr>
          <w:rFonts w:hint="eastAsia" w:eastAsia="仿宋"/>
          <w:b w:val="0"/>
          <w:bCs/>
          <w:sz w:val="32"/>
          <w:szCs w:val="32"/>
        </w:rPr>
        <w:t>贫困村农副产品实现上网销售507个,</w:t>
      </w:r>
      <w:r>
        <w:rPr>
          <w:rFonts w:eastAsia="仿宋"/>
          <w:b w:val="0"/>
          <w:bCs/>
          <w:sz w:val="32"/>
          <w:szCs w:val="32"/>
        </w:rPr>
        <w:t xml:space="preserve"> 培育发展</w:t>
      </w:r>
      <w:r>
        <w:rPr>
          <w:rFonts w:hint="eastAsia" w:eastAsia="仿宋"/>
          <w:b w:val="0"/>
          <w:bCs/>
          <w:sz w:val="32"/>
          <w:szCs w:val="32"/>
        </w:rPr>
        <w:t>农村电子商务服务站1267个,带动贫困村257个,帮助贫困人口5.7万人。</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黑体" w:hAnsi="黑体" w:eastAsia="黑体" w:cs="仿宋"/>
          <w:b w:val="0"/>
          <w:bCs/>
          <w:sz w:val="32"/>
          <w:szCs w:val="32"/>
        </w:rPr>
      </w:pPr>
      <w:r>
        <w:rPr>
          <w:rFonts w:hint="eastAsia" w:ascii="黑体" w:hAnsi="黑体" w:eastAsia="黑体" w:cs="仿宋"/>
          <w:b w:val="0"/>
          <w:bCs/>
          <w:sz w:val="32"/>
          <w:szCs w:val="32"/>
        </w:rPr>
        <w:t>二、绩效评价工作情况</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楷体" w:hAnsi="楷体" w:eastAsia="楷体" w:cs="仿宋"/>
          <w:b w:val="0"/>
          <w:bCs/>
          <w:sz w:val="32"/>
          <w:szCs w:val="32"/>
        </w:rPr>
      </w:pPr>
      <w:r>
        <w:rPr>
          <w:rFonts w:hint="eastAsia" w:ascii="楷体" w:hAnsi="楷体" w:eastAsia="楷体" w:cs="仿宋"/>
          <w:b w:val="0"/>
          <w:bCs/>
          <w:sz w:val="32"/>
          <w:szCs w:val="32"/>
        </w:rPr>
        <w:t>（一）项目实施情况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rPr>
          <w:rFonts w:ascii="仿宋" w:hAnsi="仿宋" w:eastAsia="仿宋" w:cs="仿宋"/>
          <w:b w:val="0"/>
          <w:bCs/>
          <w:sz w:val="32"/>
          <w:szCs w:val="32"/>
        </w:rPr>
      </w:pPr>
      <w:r>
        <w:rPr>
          <w:rFonts w:hint="eastAsia" w:ascii="仿宋" w:hAnsi="仿宋" w:eastAsia="仿宋"/>
          <w:b w:val="0"/>
          <w:bCs/>
          <w:sz w:val="32"/>
          <w:szCs w:val="32"/>
        </w:rPr>
        <w:t>1、</w:t>
      </w:r>
      <w:r>
        <w:rPr>
          <w:rFonts w:ascii="仿宋" w:hAnsi="仿宋" w:eastAsia="仿宋"/>
          <w:b w:val="0"/>
          <w:bCs/>
          <w:sz w:val="32"/>
          <w:szCs w:val="32"/>
        </w:rPr>
        <w:t>各有关企业（单位）自愿向所属区</w:t>
      </w:r>
      <w:r>
        <w:rPr>
          <w:rFonts w:hint="eastAsia" w:ascii="仿宋" w:hAnsi="仿宋" w:eastAsia="仿宋"/>
          <w:b w:val="0"/>
          <w:bCs/>
          <w:sz w:val="32"/>
          <w:szCs w:val="32"/>
        </w:rPr>
        <w:t>电子商务主管部门</w:t>
      </w:r>
      <w:r>
        <w:rPr>
          <w:rFonts w:ascii="仿宋" w:hAnsi="仿宋" w:eastAsia="仿宋"/>
          <w:b w:val="0"/>
          <w:bCs/>
          <w:sz w:val="32"/>
          <w:szCs w:val="32"/>
        </w:rPr>
        <w:t>、</w:t>
      </w:r>
      <w:r>
        <w:rPr>
          <w:rFonts w:hint="eastAsia" w:ascii="仿宋" w:hAnsi="仿宋" w:eastAsia="仿宋"/>
          <w:b w:val="0"/>
          <w:bCs/>
          <w:sz w:val="32"/>
          <w:szCs w:val="32"/>
        </w:rPr>
        <w:t>财政部门</w:t>
      </w:r>
      <w:r>
        <w:rPr>
          <w:rFonts w:ascii="仿宋" w:hAnsi="仿宋" w:eastAsia="仿宋"/>
          <w:b w:val="0"/>
          <w:bCs/>
          <w:sz w:val="32"/>
          <w:szCs w:val="32"/>
        </w:rPr>
        <w:t>提交申请</w:t>
      </w:r>
      <w:r>
        <w:rPr>
          <w:rFonts w:hint="eastAsia" w:ascii="仿宋" w:hAnsi="仿宋" w:eastAsia="仿宋"/>
          <w:b w:val="0"/>
          <w:bCs/>
          <w:sz w:val="32"/>
          <w:szCs w:val="32"/>
        </w:rPr>
        <w:t>；</w:t>
      </w:r>
      <w:r>
        <w:rPr>
          <w:rFonts w:hint="eastAsia" w:ascii="仿宋" w:hAnsi="仿宋" w:eastAsia="仿宋"/>
          <w:b w:val="0"/>
          <w:bCs/>
          <w:sz w:val="32"/>
          <w:szCs w:val="32"/>
          <w:lang w:eastAsia="zh-CN"/>
        </w:rPr>
        <w:t>区</w:t>
      </w:r>
      <w:r>
        <w:rPr>
          <w:rFonts w:hint="eastAsia" w:ascii="仿宋" w:hAnsi="仿宋" w:eastAsia="仿宋"/>
          <w:b w:val="0"/>
          <w:bCs/>
          <w:sz w:val="32"/>
          <w:szCs w:val="32"/>
        </w:rPr>
        <w:t>电子商务主管部门</w:t>
      </w:r>
      <w:r>
        <w:rPr>
          <w:rFonts w:ascii="仿宋" w:hAnsi="仿宋" w:eastAsia="仿宋"/>
          <w:b w:val="0"/>
          <w:bCs/>
          <w:sz w:val="32"/>
          <w:szCs w:val="32"/>
        </w:rPr>
        <w:t>、</w:t>
      </w:r>
      <w:r>
        <w:rPr>
          <w:rFonts w:hint="eastAsia" w:ascii="仿宋" w:hAnsi="仿宋" w:eastAsia="仿宋"/>
          <w:b w:val="0"/>
          <w:bCs/>
          <w:sz w:val="32"/>
          <w:szCs w:val="32"/>
        </w:rPr>
        <w:t>财政部门</w:t>
      </w:r>
      <w:r>
        <w:rPr>
          <w:rFonts w:ascii="仿宋" w:hAnsi="仿宋" w:eastAsia="仿宋"/>
          <w:b w:val="0"/>
          <w:bCs/>
          <w:sz w:val="32"/>
          <w:szCs w:val="32"/>
        </w:rPr>
        <w:t>联合初审，将符合条件申报201</w:t>
      </w:r>
      <w:r>
        <w:rPr>
          <w:rFonts w:hint="eastAsia" w:ascii="仿宋" w:hAnsi="仿宋" w:eastAsia="仿宋"/>
          <w:b w:val="0"/>
          <w:bCs/>
          <w:sz w:val="32"/>
          <w:szCs w:val="32"/>
        </w:rPr>
        <w:t>8</w:t>
      </w:r>
      <w:r>
        <w:rPr>
          <w:rFonts w:ascii="仿宋" w:hAnsi="仿宋" w:eastAsia="仿宋"/>
          <w:b w:val="0"/>
          <w:bCs/>
          <w:sz w:val="32"/>
          <w:szCs w:val="32"/>
        </w:rPr>
        <w:t>年度电子商务</w:t>
      </w:r>
      <w:r>
        <w:rPr>
          <w:rFonts w:hint="eastAsia" w:ascii="仿宋" w:hAnsi="仿宋" w:eastAsia="仿宋"/>
          <w:b w:val="0"/>
          <w:bCs/>
          <w:sz w:val="32"/>
          <w:szCs w:val="32"/>
          <w:lang w:eastAsia="zh-CN"/>
        </w:rPr>
        <w:t>发展引导</w:t>
      </w:r>
      <w:r>
        <w:rPr>
          <w:rFonts w:ascii="仿宋" w:hAnsi="仿宋" w:eastAsia="仿宋"/>
          <w:b w:val="0"/>
          <w:bCs/>
          <w:sz w:val="32"/>
          <w:szCs w:val="32"/>
        </w:rPr>
        <w:t>资金的企业（单位）汇总，联合行文报送市商务局和市财政局。</w:t>
      </w:r>
      <w:r>
        <w:rPr>
          <w:rFonts w:hint="eastAsia" w:ascii="仿宋" w:hAnsi="仿宋" w:eastAsia="仿宋" w:cs="仿宋"/>
          <w:b w:val="0"/>
          <w:bCs/>
          <w:sz w:val="32"/>
          <w:szCs w:val="32"/>
        </w:rPr>
        <w:t>2、市商务局和市财政局联合审查后形成初步分配方案，经公示无异议后报市人民政府审定。</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cs="宋体"/>
          <w:b w:val="0"/>
          <w:bCs/>
          <w:sz w:val="32"/>
          <w:szCs w:val="32"/>
        </w:rPr>
      </w:pPr>
      <w:r>
        <w:rPr>
          <w:rFonts w:hint="eastAsia" w:ascii="仿宋" w:hAnsi="仿宋" w:eastAsia="仿宋"/>
          <w:b w:val="0"/>
          <w:bCs/>
          <w:sz w:val="32"/>
          <w:szCs w:val="32"/>
        </w:rPr>
        <w:t xml:space="preserve"> </w:t>
      </w:r>
      <w:r>
        <w:rPr>
          <w:rFonts w:hint="eastAsia" w:ascii="楷体" w:hAnsi="楷体" w:eastAsia="楷体" w:cs="仿宋"/>
          <w:b w:val="0"/>
          <w:bCs/>
          <w:sz w:val="32"/>
          <w:szCs w:val="32"/>
        </w:rPr>
        <w:t>（二）绩效评价的组织</w:t>
      </w:r>
      <w:r>
        <w:rPr>
          <w:rFonts w:hint="eastAsia" w:ascii="仿宋" w:hAnsi="仿宋" w:eastAsia="仿宋"/>
          <w:b w:val="0"/>
          <w:bCs/>
          <w:sz w:val="32"/>
          <w:szCs w:val="32"/>
        </w:rPr>
        <w:t>。</w:t>
      </w:r>
      <w:r>
        <w:rPr>
          <w:rFonts w:hint="eastAsia" w:ascii="仿宋" w:hAnsi="仿宋" w:eastAsia="仿宋" w:cs="仿宋"/>
          <w:b w:val="0"/>
          <w:bCs/>
          <w:sz w:val="32"/>
          <w:szCs w:val="32"/>
        </w:rPr>
        <w:t>此次绩效评价工作，成立了以市商务局分管领导牵头相关科室参加，区电子商务主管部门分管领导和股室参加，项目单位法人、项目单位工作</w:t>
      </w:r>
      <w:r>
        <w:rPr>
          <w:rFonts w:hint="eastAsia" w:ascii="仿宋" w:hAnsi="仿宋" w:eastAsia="仿宋" w:cs="仿宋"/>
          <w:b w:val="0"/>
          <w:bCs/>
          <w:sz w:val="32"/>
          <w:szCs w:val="32"/>
          <w:lang w:eastAsia="zh-CN"/>
        </w:rPr>
        <w:t>负责</w:t>
      </w:r>
      <w:r>
        <w:rPr>
          <w:rFonts w:hint="eastAsia" w:ascii="仿宋" w:hAnsi="仿宋" w:eastAsia="仿宋" w:cs="仿宋"/>
          <w:b w:val="0"/>
          <w:bCs/>
          <w:sz w:val="32"/>
          <w:szCs w:val="32"/>
        </w:rPr>
        <w:t>人为成员的绩效评价工作小组。明确了项目单位法人为第一责任人，要求项目单位严格按申报项目加强资金使用，建立专门帐户，</w:t>
      </w:r>
      <w:r>
        <w:rPr>
          <w:rFonts w:hint="eastAsia" w:ascii="仿宋" w:hAnsi="仿宋" w:eastAsia="仿宋" w:cs="宋体"/>
          <w:b w:val="0"/>
          <w:bCs/>
          <w:color w:val="000000"/>
          <w:kern w:val="0"/>
          <w:sz w:val="32"/>
          <w:szCs w:val="32"/>
        </w:rPr>
        <w:t>切实加强会计核算，做到项目资金来源清楚，去向明确，使用明白，确保电子商务发展</w:t>
      </w:r>
      <w:r>
        <w:rPr>
          <w:rFonts w:hint="eastAsia" w:ascii="仿宋" w:hAnsi="仿宋" w:eastAsia="仿宋" w:cs="宋体"/>
          <w:b w:val="0"/>
          <w:bCs/>
          <w:color w:val="000000"/>
          <w:kern w:val="0"/>
          <w:sz w:val="32"/>
          <w:szCs w:val="32"/>
          <w:lang w:eastAsia="zh-CN"/>
        </w:rPr>
        <w:t>引导</w:t>
      </w:r>
      <w:r>
        <w:rPr>
          <w:rFonts w:hint="eastAsia" w:ascii="仿宋" w:hAnsi="仿宋" w:eastAsia="仿宋" w:cs="宋体"/>
          <w:b w:val="0"/>
          <w:bCs/>
          <w:color w:val="000000"/>
          <w:kern w:val="0"/>
          <w:sz w:val="32"/>
          <w:szCs w:val="32"/>
        </w:rPr>
        <w:t>资金有限的资金用在刀刃上，发挥应有的效能。</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楷体" w:hAnsi="楷体" w:eastAsia="楷体" w:cs="仿宋"/>
          <w:b w:val="0"/>
          <w:bCs/>
          <w:sz w:val="32"/>
          <w:szCs w:val="32"/>
        </w:rPr>
      </w:pPr>
      <w:r>
        <w:rPr>
          <w:rFonts w:hint="eastAsia" w:ascii="楷体" w:hAnsi="楷体" w:eastAsia="楷体" w:cs="仿宋"/>
          <w:b w:val="0"/>
          <w:bCs/>
          <w:sz w:val="32"/>
          <w:szCs w:val="32"/>
        </w:rPr>
        <w:t>（三）绩效评价的实施。</w:t>
      </w:r>
    </w:p>
    <w:p>
      <w:pPr>
        <w:pStyle w:val="2"/>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仿宋" w:hAnsi="仿宋" w:eastAsia="仿宋" w:cs="仿宋"/>
          <w:b w:val="0"/>
          <w:bCs/>
          <w:sz w:val="32"/>
          <w:szCs w:val="32"/>
        </w:rPr>
      </w:pPr>
      <w:r>
        <w:rPr>
          <w:rFonts w:hint="eastAsia" w:ascii="仿宋" w:hAnsi="仿宋" w:eastAsia="仿宋" w:cs="仿宋"/>
          <w:b w:val="0"/>
          <w:bCs/>
          <w:sz w:val="32"/>
          <w:szCs w:val="32"/>
        </w:rPr>
        <w:t>按照市财政局文件的要求，商务局领导高度重视，提出了具体要求，明确所在各区电子商务主管部门负责组织具体实施，指出项目单位法人为第一责任人，企业工作联系人负责企业组织自评，区电子商务主管部门要对项目单位现场查验和提交材料进行把关，确保项目建设科学与规范。</w:t>
      </w:r>
      <w:r>
        <w:rPr>
          <w:rFonts w:hint="eastAsia" w:ascii="仿宋" w:hAnsi="仿宋" w:eastAsia="仿宋"/>
          <w:b w:val="0"/>
          <w:bCs/>
          <w:sz w:val="32"/>
          <w:szCs w:val="32"/>
        </w:rPr>
        <w:t>通过企业的自评和区电子商务主管部门组织的绩效评价，电子商务产业发展引导资金各项绩效指标均基本完成，资金在安排、管理、拨付、使用等方面严格按照相关政策规定和要求，目前没有出现问题。</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三、存在的问题</w:t>
      </w:r>
    </w:p>
    <w:p>
      <w:pPr>
        <w:keepNext w:val="0"/>
        <w:keepLines w:val="0"/>
        <w:pageBreakBefore w:val="0"/>
        <w:widowControl w:val="0"/>
        <w:kinsoku/>
        <w:wordWrap/>
        <w:overflowPunct w:val="0"/>
        <w:topLinePunct w:val="0"/>
        <w:autoSpaceDE/>
        <w:autoSpaceDN/>
        <w:bidi w:val="0"/>
        <w:spacing w:line="600" w:lineRule="exact"/>
        <w:ind w:left="0" w:firstLine="600" w:firstLineChars="200"/>
        <w:jc w:val="both"/>
        <w:textAlignment w:val="auto"/>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1、项目实施时间较滞后。由于项目申报的时间已接近年底，申报、审核时间较为仓促。</w:t>
      </w:r>
    </w:p>
    <w:p>
      <w:pPr>
        <w:keepNext w:val="0"/>
        <w:keepLines w:val="0"/>
        <w:pageBreakBefore w:val="0"/>
        <w:widowControl w:val="0"/>
        <w:kinsoku/>
        <w:wordWrap/>
        <w:overflowPunct w:val="0"/>
        <w:topLinePunct w:val="0"/>
        <w:autoSpaceDE/>
        <w:autoSpaceDN/>
        <w:bidi w:val="0"/>
        <w:spacing w:line="600" w:lineRule="exact"/>
        <w:ind w:left="0" w:firstLine="600" w:firstLineChars="200"/>
        <w:jc w:val="both"/>
        <w:textAlignment w:val="auto"/>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2、缺乏主动性，由于绩效管理的专业性、复杂性等特性，业务水平还不能满足绩效管理工作要求，专业素质有待提高；规范高效的预算绩效管理模式还处于起步阶段，预算绩效管理基础工作有待进一步加强。</w:t>
      </w:r>
    </w:p>
    <w:p>
      <w:pPr>
        <w:keepNext w:val="0"/>
        <w:keepLines w:val="0"/>
        <w:pageBreakBefore w:val="0"/>
        <w:widowControl w:val="0"/>
        <w:kinsoku/>
        <w:wordWrap/>
        <w:overflowPunct w:val="0"/>
        <w:topLinePunct w:val="0"/>
        <w:autoSpaceDE/>
        <w:autoSpaceDN/>
        <w:bidi w:val="0"/>
        <w:spacing w:line="600" w:lineRule="exact"/>
        <w:ind w:left="0"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四、整改措施</w:t>
      </w:r>
    </w:p>
    <w:p>
      <w:pPr>
        <w:pStyle w:val="7"/>
        <w:keepNext w:val="0"/>
        <w:keepLines w:val="0"/>
        <w:pageBreakBefore w:val="0"/>
        <w:widowControl w:val="0"/>
        <w:shd w:val="clear" w:color="auto" w:fill="FFFFFF"/>
        <w:kinsoku/>
        <w:wordWrap/>
        <w:overflowPunct w:val="0"/>
        <w:topLinePunct w:val="0"/>
        <w:autoSpaceDE/>
        <w:autoSpaceDN/>
        <w:bidi w:val="0"/>
        <w:spacing w:line="600" w:lineRule="exact"/>
        <w:ind w:left="0" w:firstLine="600" w:firstLineChars="200"/>
        <w:jc w:val="both"/>
        <w:textAlignment w:val="auto"/>
        <w:rPr>
          <w:rFonts w:ascii="仿宋_GB2312" w:hAnsi="仿宋_GB2312" w:eastAsia="仿宋_GB2312" w:cs="仿宋_GB2312"/>
          <w:kern w:val="0"/>
          <w:sz w:val="30"/>
          <w:szCs w:val="30"/>
        </w:rPr>
      </w:pPr>
      <w:r>
        <w:rPr>
          <w:rFonts w:hint="eastAsia" w:ascii="仿宋_GB2312" w:hAnsi="仿宋_GB2312" w:eastAsia="仿宋_GB2312" w:cs="仿宋_GB2312"/>
          <w:b w:val="0"/>
          <w:bCs/>
          <w:kern w:val="0"/>
          <w:sz w:val="30"/>
          <w:szCs w:val="30"/>
        </w:rPr>
        <w:t>1、进一步健全和完善财务管理制度及内部控制制度，创新管理手段，用新思路、新方法，改进完善财务管理方法。</w:t>
      </w:r>
    </w:p>
    <w:p>
      <w:pPr>
        <w:pStyle w:val="7"/>
        <w:widowControl/>
        <w:shd w:val="clear" w:color="auto" w:fill="FFFFFF"/>
        <w:spacing w:line="540" w:lineRule="atLeast"/>
        <w:ind w:firstLine="585"/>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2、按照财政支出绩效管理的要求，建立科学的财政资金效益考评制度体系，不断提高财政资金使用管理的水平和效率。</w:t>
      </w:r>
    </w:p>
    <w:p>
      <w:pPr>
        <w:pStyle w:val="7"/>
        <w:widowControl/>
        <w:shd w:val="clear" w:color="auto" w:fill="FFFFFF"/>
        <w:spacing w:line="600" w:lineRule="exact"/>
        <w:ind w:firstLine="585"/>
        <w:rPr>
          <w:rFonts w:ascii="仿宋_GB2312" w:hAnsi="仿宋_GB2312" w:eastAsia="仿宋_GB2312" w:cs="仿宋_GB2312"/>
          <w:kern w:val="0"/>
          <w:sz w:val="30"/>
          <w:szCs w:val="30"/>
        </w:rPr>
      </w:pPr>
    </w:p>
    <w:p>
      <w:pPr>
        <w:pStyle w:val="7"/>
        <w:widowControl/>
        <w:shd w:val="clear" w:color="auto" w:fill="FFFFFF"/>
        <w:spacing w:line="600" w:lineRule="exact"/>
        <w:ind w:firstLine="585"/>
        <w:rPr>
          <w:rFonts w:ascii="仿宋_GB2312" w:hAnsi="仿宋_GB2312" w:eastAsia="仿宋_GB2312" w:cs="仿宋_GB2312"/>
          <w:kern w:val="0"/>
          <w:sz w:val="30"/>
          <w:szCs w:val="30"/>
        </w:rPr>
      </w:pPr>
    </w:p>
    <w:p>
      <w:pPr>
        <w:spacing w:line="600" w:lineRule="exact"/>
        <w:ind w:firstLine="5120" w:firstLineChars="1600"/>
        <w:rPr>
          <w:rFonts w:ascii="仿宋" w:hAnsi="仿宋" w:eastAsia="仿宋"/>
          <w:sz w:val="32"/>
          <w:szCs w:val="32"/>
        </w:rPr>
      </w:pPr>
      <w:r>
        <w:rPr>
          <w:rFonts w:hint="eastAsia" w:ascii="仿宋" w:hAnsi="仿宋" w:eastAsia="仿宋"/>
          <w:sz w:val="32"/>
          <w:szCs w:val="32"/>
        </w:rPr>
        <w:t>益阳市商务局</w:t>
      </w:r>
    </w:p>
    <w:p>
      <w:pPr>
        <w:spacing w:line="600" w:lineRule="exact"/>
        <w:ind w:firstLine="4960" w:firstLineChars="1550"/>
        <w:rPr>
          <w:rFonts w:ascii="仿宋" w:hAnsi="仿宋" w:eastAsia="仿宋"/>
          <w:sz w:val="32"/>
          <w:szCs w:val="32"/>
        </w:rPr>
      </w:pPr>
      <w:r>
        <w:rPr>
          <w:rFonts w:hint="eastAsia" w:ascii="仿宋" w:hAnsi="仿宋" w:eastAsia="仿宋"/>
          <w:sz w:val="32"/>
          <w:szCs w:val="32"/>
        </w:rPr>
        <w:t>2019年4月26日</w:t>
      </w:r>
    </w:p>
    <w:p>
      <w:pPr>
        <w:ind w:firstLine="640" w:firstLineChars="200"/>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widowControl/>
        <w:spacing w:line="240" w:lineRule="auto"/>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kern w:val="0"/>
          <w:sz w:val="44"/>
          <w:szCs w:val="44"/>
        </w:rPr>
        <w:t>2018年项目支出绩效自评指标评分表</w:t>
      </w:r>
    </w:p>
    <w:tbl>
      <w:tblPr>
        <w:tblStyle w:val="8"/>
        <w:tblW w:w="9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9"/>
        <w:gridCol w:w="1107"/>
        <w:gridCol w:w="1317"/>
        <w:gridCol w:w="639"/>
        <w:gridCol w:w="2769"/>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blHeader/>
          <w:jc w:val="center"/>
        </w:trPr>
        <w:tc>
          <w:tcPr>
            <w:tcW w:w="639" w:type="dxa"/>
            <w:vAlign w:val="center"/>
          </w:tcPr>
          <w:p>
            <w:pPr>
              <w:widowControl/>
              <w:spacing w:line="26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一级指标</w:t>
            </w:r>
          </w:p>
        </w:tc>
        <w:tc>
          <w:tcPr>
            <w:tcW w:w="1107" w:type="dxa"/>
            <w:vAlign w:val="center"/>
          </w:tcPr>
          <w:p>
            <w:pPr>
              <w:widowControl/>
              <w:spacing w:line="26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二级</w:t>
            </w:r>
          </w:p>
          <w:p>
            <w:pPr>
              <w:widowControl/>
              <w:spacing w:line="26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指标</w:t>
            </w:r>
          </w:p>
        </w:tc>
        <w:tc>
          <w:tcPr>
            <w:tcW w:w="1317" w:type="dxa"/>
            <w:vAlign w:val="center"/>
          </w:tcPr>
          <w:p>
            <w:pPr>
              <w:widowControl/>
              <w:spacing w:line="26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三级</w:t>
            </w:r>
          </w:p>
          <w:p>
            <w:pPr>
              <w:widowControl/>
              <w:spacing w:line="26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指标</w:t>
            </w:r>
          </w:p>
        </w:tc>
        <w:tc>
          <w:tcPr>
            <w:tcW w:w="639" w:type="dxa"/>
            <w:vAlign w:val="center"/>
          </w:tcPr>
          <w:p>
            <w:pPr>
              <w:widowControl/>
              <w:spacing w:line="26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自评分</w:t>
            </w:r>
          </w:p>
        </w:tc>
        <w:tc>
          <w:tcPr>
            <w:tcW w:w="2769" w:type="dxa"/>
            <w:vAlign w:val="center"/>
          </w:tcPr>
          <w:p>
            <w:pPr>
              <w:widowControl/>
              <w:spacing w:line="26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具体指标</w:t>
            </w:r>
          </w:p>
        </w:tc>
        <w:tc>
          <w:tcPr>
            <w:tcW w:w="2928" w:type="dxa"/>
            <w:vAlign w:val="center"/>
          </w:tcPr>
          <w:p>
            <w:pPr>
              <w:widowControl/>
              <w:spacing w:line="26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restart"/>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决策（20分）</w:t>
            </w:r>
          </w:p>
        </w:tc>
        <w:tc>
          <w:tcPr>
            <w:tcW w:w="110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目标</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（4分）</w:t>
            </w: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目标</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内容（4分）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2769" w:type="dxa"/>
            <w:vAlign w:val="center"/>
          </w:tcPr>
          <w:p>
            <w:pPr>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设立了项目绩效目标；目标明确；目标细化；目标量化</w:t>
            </w:r>
          </w:p>
        </w:tc>
        <w:tc>
          <w:tcPr>
            <w:tcW w:w="2928" w:type="dxa"/>
            <w:vAlign w:val="center"/>
          </w:tcPr>
          <w:p>
            <w:pPr>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设有目标（1分）   </w:t>
            </w:r>
          </w:p>
          <w:p>
            <w:pPr>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目标明确（1分）   </w:t>
            </w:r>
          </w:p>
          <w:p>
            <w:pPr>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目标细化（1分）    </w:t>
            </w:r>
          </w:p>
          <w:p>
            <w:pPr>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目标量化（1分）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restart"/>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决策过程（8分）</w:t>
            </w: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决策</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依据（4分）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有关法律法规的明确规定；某一经济社会发展规划；某部门年度工作计划；某一实际问题和需求</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符合法律法规（1分）符合经济社会发展规划（1分）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部门年度工作计划（1分）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针对某一实际问题和需求（1分）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决策</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程序（4分）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项目符合申报条件；申报、批复程序符合相关管理办法；项目调整履行了相应手续</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符合申报条件（2分）项目申报、批复程序符合管理办法（1分）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项目调整履行了相应手续（1分）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restart"/>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资金分配（8分）</w:t>
            </w: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分配</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办法（3分）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根据需要制定的相关资金管理办法；管理办法中有明确资金分配办法；资金分配因素全面、合理</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有相应的资金管理办法（1分）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办法健全、规范（1分）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因素全面合理（1分）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分配</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结果（5分）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资金分配符合相关管理办法；分配结果公平合理</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符合分配办法（2分）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分配公平合理（3分）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restart"/>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 （25）</w:t>
            </w:r>
          </w:p>
        </w:tc>
        <w:tc>
          <w:tcPr>
            <w:tcW w:w="1107" w:type="dxa"/>
            <w:vMerge w:val="restart"/>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资金到位（5分）</w:t>
            </w: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到位率（3分）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实际到位/计划到位*100%</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时效（2分）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资金及时到位；若未及时到位，是否影响项目进度</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到位及时（2分）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不及时但未影响项目进度 （1分）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不及时并影响项目进度（0.5分）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restart"/>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资金管理（10分）</w:t>
            </w: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使用（7分）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支出依据合规，无虚列项目支出情况；无截留挤占挪用情况；无超标准开支情况；无超预算情况</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虚列套取扣4-7分 </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依据不合规扣2分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截留、挤占、挪用    扣3-6分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超标准开支扣2-5分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超预算扣2-5分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财务</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管理（3分）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资金管理、费用支出等制度健全；制度执行严格；会计核算规范</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财务制度健全（1分）严格执行制度（1分）会计核算规范（1分）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restart"/>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组织</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实施</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（10分）</w:t>
            </w: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组织</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机构（1分）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机构健全、分工明确</w:t>
            </w:r>
          </w:p>
        </w:tc>
        <w:tc>
          <w:tcPr>
            <w:tcW w:w="2928" w:type="dxa"/>
            <w:vAlign w:val="center"/>
          </w:tcPr>
          <w:p>
            <w:pPr>
              <w:widowControl/>
              <w:spacing w:line="260" w:lineRule="exact"/>
              <w:ind w:left="200" w:hanging="240" w:hangingChars="1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机构健全、分工明确  </w:t>
            </w:r>
          </w:p>
          <w:p>
            <w:pPr>
              <w:widowControl/>
              <w:spacing w:line="260" w:lineRule="exact"/>
              <w:ind w:left="200" w:hanging="240" w:hangingChars="100"/>
              <w:jc w:val="left"/>
              <w:rPr>
                <w:rFonts w:hint="eastAsia" w:asciiTheme="minorEastAsia" w:hAnsiTheme="minorEastAsia" w:eastAsiaTheme="minorEastAsia" w:cstheme="minorEastAsia"/>
                <w:kern w:val="0"/>
                <w:sz w:val="24"/>
                <w:szCs w:val="24"/>
              </w:rPr>
            </w:pPr>
            <w:bookmarkStart w:id="0" w:name="_GoBack"/>
            <w:bookmarkEnd w:id="0"/>
            <w:r>
              <w:rPr>
                <w:rFonts w:hint="eastAsia" w:asciiTheme="minorEastAsia" w:hAnsiTheme="minorEastAsia" w:eastAsiaTheme="minorEastAsia" w:cstheme="minorEastAsia"/>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实施（3分）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项目按计划开工；按计划进度开展；按计划完工</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按计划开工（1分）   按计划开展（1分）   按计划完工（1分）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制度（6分）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项目管理制度健全；严格执行相关管理制度</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管理制度健全（2分）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制度执行严格（4分）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restart"/>
            <w:vAlign w:val="center"/>
          </w:tcPr>
          <w:p>
            <w:pPr>
              <w:widowControl/>
              <w:spacing w:line="260" w:lineRule="exact"/>
              <w:jc w:val="center"/>
              <w:rPr>
                <w:rFonts w:hint="eastAsia" w:asciiTheme="minorEastAsia" w:hAnsiTheme="minorEastAsia" w:eastAsiaTheme="minorEastAsia" w:cstheme="minorEastAsia"/>
                <w:kern w:val="0"/>
                <w:sz w:val="24"/>
                <w:szCs w:val="24"/>
              </w:rPr>
            </w:pPr>
          </w:p>
          <w:p>
            <w:pPr>
              <w:widowControl/>
              <w:spacing w:line="260" w:lineRule="exact"/>
              <w:jc w:val="center"/>
              <w:rPr>
                <w:rFonts w:hint="eastAsia" w:asciiTheme="minorEastAsia" w:hAnsiTheme="minorEastAsia" w:eastAsiaTheme="minorEastAsia" w:cstheme="minorEastAsia"/>
                <w:kern w:val="0"/>
                <w:sz w:val="24"/>
                <w:szCs w:val="24"/>
              </w:rPr>
            </w:pPr>
          </w:p>
          <w:p>
            <w:pPr>
              <w:widowControl/>
              <w:spacing w:line="260" w:lineRule="exact"/>
              <w:jc w:val="center"/>
              <w:rPr>
                <w:rFonts w:hint="eastAsia" w:asciiTheme="minorEastAsia" w:hAnsiTheme="minorEastAsia" w:eastAsiaTheme="minorEastAsia" w:cstheme="minorEastAsia"/>
                <w:kern w:val="0"/>
                <w:sz w:val="24"/>
                <w:szCs w:val="24"/>
              </w:rPr>
            </w:pP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绩效（55分）</w:t>
            </w:r>
          </w:p>
        </w:tc>
        <w:tc>
          <w:tcPr>
            <w:tcW w:w="1107" w:type="dxa"/>
            <w:vMerge w:val="restart"/>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产出</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（15分）</w:t>
            </w: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产出</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数量（5分）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根据该项目实际，标识具体明确的产出数量</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对照绩效目标，按实际产出数量率计算得分（5分）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产出</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质量（4分）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根据该项目实际，标识具体明确的产出质量</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对照绩效目标，按实际产出质量率计算得分（4分）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产出</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时效（3分）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根据该项目实际，标识具体明确的产出时效</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对照绩效目标，按实际产出时效率计算得分（3分）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产出</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成本（3分）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根据该项目实际，标识具体明确的产出成本</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对照绩效目标，按实际产出成本率计算得分（3分）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restart"/>
            <w:vAlign w:val="center"/>
          </w:tcPr>
          <w:p>
            <w:pPr>
              <w:widowControl/>
              <w:spacing w:line="260" w:lineRule="exact"/>
              <w:rPr>
                <w:rFonts w:hint="eastAsia" w:asciiTheme="minorEastAsia" w:hAnsiTheme="minorEastAsia" w:eastAsiaTheme="minorEastAsia" w:cstheme="minorEastAsia"/>
                <w:kern w:val="0"/>
                <w:sz w:val="24"/>
                <w:szCs w:val="24"/>
              </w:rPr>
            </w:pP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效果</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（40分）</w:t>
            </w: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经济</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效益（8分）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根据项目实际，标识所产生的直接或间接的经济效益</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对照绩效目标，按经济效益实现程度计算得分（8分）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社会</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效益（8分）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根据项目实际，标识所产生的社会效益</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对照绩效目标，按社会效益实现程度计算得分（8分）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环境</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效益（8分）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根据项目实际，标识对环境所产生的积极或消极影响</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对照绩效目标，按对环境所产生的实际影响程度计算得分（8分）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可持续影响（8分）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项目产出能持续运用；项目运行所依赖的政策制度能持续执行</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项目产出能持续运用（4分）</w:t>
            </w:r>
          </w:p>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所依赖的政策制度能持续执行（4分）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107" w:type="dxa"/>
            <w:vMerge w:val="continue"/>
            <w:vAlign w:val="center"/>
          </w:tcPr>
          <w:p>
            <w:pPr>
              <w:widowControl/>
              <w:spacing w:line="260" w:lineRule="exact"/>
              <w:jc w:val="left"/>
              <w:rPr>
                <w:rFonts w:hint="eastAsia" w:asciiTheme="minorEastAsia" w:hAnsiTheme="minorEastAsia" w:eastAsiaTheme="minorEastAsia" w:cstheme="minorEastAsia"/>
                <w:kern w:val="0"/>
                <w:sz w:val="24"/>
                <w:szCs w:val="24"/>
              </w:rPr>
            </w:pP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w:t>
            </w:r>
          </w:p>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对象满意度（8分）</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2769"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项目预期服务对象对项目实施的满意程度</w:t>
            </w:r>
          </w:p>
        </w:tc>
        <w:tc>
          <w:tcPr>
            <w:tcW w:w="2928" w:type="dxa"/>
            <w:vAlign w:val="center"/>
          </w:tcPr>
          <w:p>
            <w:pPr>
              <w:widowControl/>
              <w:spacing w:line="2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按收集到的项目服务对象的满意率计算得分（8分）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总分</w:t>
            </w:r>
          </w:p>
        </w:tc>
        <w:tc>
          <w:tcPr>
            <w:tcW w:w="1107"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1317" w:type="dxa"/>
            <w:vAlign w:val="center"/>
          </w:tcPr>
          <w:p>
            <w:pPr>
              <w:widowControl/>
              <w:spacing w:line="26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100</w:t>
            </w:r>
          </w:p>
        </w:tc>
        <w:tc>
          <w:tcPr>
            <w:tcW w:w="639" w:type="dxa"/>
            <w:vAlign w:val="center"/>
          </w:tcPr>
          <w:p>
            <w:pPr>
              <w:widowControl/>
              <w:spacing w:line="2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97</w:t>
            </w:r>
          </w:p>
        </w:tc>
        <w:tc>
          <w:tcPr>
            <w:tcW w:w="2769" w:type="dxa"/>
            <w:vAlign w:val="center"/>
          </w:tcPr>
          <w:p>
            <w:pPr>
              <w:widowControl/>
              <w:spacing w:line="260" w:lineRule="exact"/>
              <w:jc w:val="center"/>
              <w:rPr>
                <w:rFonts w:hint="eastAsia" w:asciiTheme="minorEastAsia" w:hAnsiTheme="minorEastAsia" w:eastAsiaTheme="minorEastAsia" w:cstheme="minorEastAsia"/>
                <w:kern w:val="0"/>
                <w:sz w:val="24"/>
                <w:szCs w:val="24"/>
                <w:lang w:eastAsia="zh-CN"/>
              </w:rPr>
            </w:pPr>
          </w:p>
        </w:tc>
        <w:tc>
          <w:tcPr>
            <w:tcW w:w="2928" w:type="dxa"/>
            <w:vAlign w:val="center"/>
          </w:tcPr>
          <w:p>
            <w:pPr>
              <w:widowControl/>
              <w:spacing w:line="260" w:lineRule="exact"/>
              <w:jc w:val="center"/>
              <w:rPr>
                <w:rFonts w:hint="eastAsia" w:asciiTheme="minorEastAsia" w:hAnsiTheme="minorEastAsia" w:eastAsiaTheme="minorEastAsia" w:cstheme="minorEastAsia"/>
                <w:kern w:val="0"/>
                <w:sz w:val="24"/>
                <w:szCs w:val="24"/>
                <w:lang w:eastAsia="zh-CN"/>
              </w:rPr>
            </w:pPr>
          </w:p>
        </w:tc>
      </w:tr>
    </w:tbl>
    <w:p/>
    <w:sectPr>
      <w:footerReference r:id="rId3" w:type="default"/>
      <w:pgSz w:w="11906" w:h="16838"/>
      <w:pgMar w:top="2098" w:right="1531" w:bottom="1984" w:left="1531"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_GB2312">
    <w:altName w:val="Arial Unicode MS"/>
    <w:panose1 w:val="00000000000000000000"/>
    <w:charset w:val="00"/>
    <w:family w:val="auto"/>
    <w:pitch w:val="default"/>
    <w:sig w:usb0="00000000" w:usb1="00000000" w:usb2="00000000" w:usb3="00000000" w:csb0="FFFFFF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6244D"/>
    <w:multiLevelType w:val="singleLevel"/>
    <w:tmpl w:val="928624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2195"/>
    <w:rsid w:val="000071D5"/>
    <w:rsid w:val="0001022E"/>
    <w:rsid w:val="00022211"/>
    <w:rsid w:val="00022CF7"/>
    <w:rsid w:val="000521BE"/>
    <w:rsid w:val="00052202"/>
    <w:rsid w:val="000B62C4"/>
    <w:rsid w:val="000C2512"/>
    <w:rsid w:val="000D3DD7"/>
    <w:rsid w:val="0010763D"/>
    <w:rsid w:val="0012259A"/>
    <w:rsid w:val="001A31D9"/>
    <w:rsid w:val="001B57DD"/>
    <w:rsid w:val="001D396D"/>
    <w:rsid w:val="00234D45"/>
    <w:rsid w:val="002412A9"/>
    <w:rsid w:val="002560A8"/>
    <w:rsid w:val="002720B5"/>
    <w:rsid w:val="0029115B"/>
    <w:rsid w:val="00293057"/>
    <w:rsid w:val="002A5D59"/>
    <w:rsid w:val="002B20A6"/>
    <w:rsid w:val="002D6FDE"/>
    <w:rsid w:val="002E16FB"/>
    <w:rsid w:val="002E1776"/>
    <w:rsid w:val="00331AEF"/>
    <w:rsid w:val="0033504F"/>
    <w:rsid w:val="00336FBF"/>
    <w:rsid w:val="00386239"/>
    <w:rsid w:val="003E0EF3"/>
    <w:rsid w:val="003E406B"/>
    <w:rsid w:val="00405B67"/>
    <w:rsid w:val="00463E30"/>
    <w:rsid w:val="00465C52"/>
    <w:rsid w:val="0046620A"/>
    <w:rsid w:val="00492BE7"/>
    <w:rsid w:val="00497E5A"/>
    <w:rsid w:val="004E1180"/>
    <w:rsid w:val="0051153C"/>
    <w:rsid w:val="005254AF"/>
    <w:rsid w:val="005345E1"/>
    <w:rsid w:val="005614BC"/>
    <w:rsid w:val="00585832"/>
    <w:rsid w:val="005B00F8"/>
    <w:rsid w:val="005B119A"/>
    <w:rsid w:val="005B5364"/>
    <w:rsid w:val="005C1A25"/>
    <w:rsid w:val="005C1D6A"/>
    <w:rsid w:val="005D747D"/>
    <w:rsid w:val="00612EAD"/>
    <w:rsid w:val="00617600"/>
    <w:rsid w:val="006723F7"/>
    <w:rsid w:val="006854CC"/>
    <w:rsid w:val="00692195"/>
    <w:rsid w:val="006A49B3"/>
    <w:rsid w:val="006B7039"/>
    <w:rsid w:val="006E506E"/>
    <w:rsid w:val="006F0012"/>
    <w:rsid w:val="007039C3"/>
    <w:rsid w:val="0071680A"/>
    <w:rsid w:val="00716E53"/>
    <w:rsid w:val="00751082"/>
    <w:rsid w:val="0075416A"/>
    <w:rsid w:val="00754CF5"/>
    <w:rsid w:val="007834DE"/>
    <w:rsid w:val="007D457A"/>
    <w:rsid w:val="00811FA7"/>
    <w:rsid w:val="00835309"/>
    <w:rsid w:val="00850A93"/>
    <w:rsid w:val="00887BEF"/>
    <w:rsid w:val="00891D2A"/>
    <w:rsid w:val="008A33DF"/>
    <w:rsid w:val="008C1288"/>
    <w:rsid w:val="008D479B"/>
    <w:rsid w:val="008E165E"/>
    <w:rsid w:val="008E78BB"/>
    <w:rsid w:val="009074C1"/>
    <w:rsid w:val="00931772"/>
    <w:rsid w:val="009326C8"/>
    <w:rsid w:val="00950BE9"/>
    <w:rsid w:val="00952EBA"/>
    <w:rsid w:val="00977FFB"/>
    <w:rsid w:val="009D1962"/>
    <w:rsid w:val="009D4D09"/>
    <w:rsid w:val="009D5B6F"/>
    <w:rsid w:val="009D7AA1"/>
    <w:rsid w:val="009E3B50"/>
    <w:rsid w:val="00A05163"/>
    <w:rsid w:val="00A553FC"/>
    <w:rsid w:val="00A84F39"/>
    <w:rsid w:val="00A9626C"/>
    <w:rsid w:val="00AC2D46"/>
    <w:rsid w:val="00AC6D83"/>
    <w:rsid w:val="00B03E27"/>
    <w:rsid w:val="00B10A39"/>
    <w:rsid w:val="00B17B40"/>
    <w:rsid w:val="00B71C8F"/>
    <w:rsid w:val="00B90BFB"/>
    <w:rsid w:val="00B934D8"/>
    <w:rsid w:val="00BB2DB8"/>
    <w:rsid w:val="00BB3395"/>
    <w:rsid w:val="00BB54C8"/>
    <w:rsid w:val="00BB7E69"/>
    <w:rsid w:val="00C05E9C"/>
    <w:rsid w:val="00C50E1A"/>
    <w:rsid w:val="00C76D58"/>
    <w:rsid w:val="00C77F62"/>
    <w:rsid w:val="00C95A93"/>
    <w:rsid w:val="00CB22C7"/>
    <w:rsid w:val="00CF6B91"/>
    <w:rsid w:val="00D076E9"/>
    <w:rsid w:val="00D5311B"/>
    <w:rsid w:val="00D57315"/>
    <w:rsid w:val="00D65537"/>
    <w:rsid w:val="00DA3F21"/>
    <w:rsid w:val="00DC7357"/>
    <w:rsid w:val="00DC7C11"/>
    <w:rsid w:val="00DD69EB"/>
    <w:rsid w:val="00DE7964"/>
    <w:rsid w:val="00E10735"/>
    <w:rsid w:val="00E14866"/>
    <w:rsid w:val="00E3238D"/>
    <w:rsid w:val="00E41B06"/>
    <w:rsid w:val="00E62A08"/>
    <w:rsid w:val="00E84095"/>
    <w:rsid w:val="00E851EB"/>
    <w:rsid w:val="00E95498"/>
    <w:rsid w:val="00EA39F4"/>
    <w:rsid w:val="00EA53D6"/>
    <w:rsid w:val="00ED3585"/>
    <w:rsid w:val="00F21603"/>
    <w:rsid w:val="00F3686C"/>
    <w:rsid w:val="00F53D2D"/>
    <w:rsid w:val="00F71038"/>
    <w:rsid w:val="00F753B6"/>
    <w:rsid w:val="00F813FD"/>
    <w:rsid w:val="00F93E89"/>
    <w:rsid w:val="00FA5CAE"/>
    <w:rsid w:val="00FB7E51"/>
    <w:rsid w:val="00FF2177"/>
    <w:rsid w:val="00FF4C41"/>
    <w:rsid w:val="023C70B4"/>
    <w:rsid w:val="024425A0"/>
    <w:rsid w:val="02925E13"/>
    <w:rsid w:val="05B82F85"/>
    <w:rsid w:val="062C6380"/>
    <w:rsid w:val="072408D9"/>
    <w:rsid w:val="07F36CD6"/>
    <w:rsid w:val="08A8712B"/>
    <w:rsid w:val="09721E3D"/>
    <w:rsid w:val="0AFD659A"/>
    <w:rsid w:val="0DB32B01"/>
    <w:rsid w:val="0DD53783"/>
    <w:rsid w:val="0EC207FB"/>
    <w:rsid w:val="0F0F1D85"/>
    <w:rsid w:val="0F9C0692"/>
    <w:rsid w:val="105556F6"/>
    <w:rsid w:val="176F33B3"/>
    <w:rsid w:val="194F4D52"/>
    <w:rsid w:val="19912A8F"/>
    <w:rsid w:val="1A687FF6"/>
    <w:rsid w:val="1A7A3CD9"/>
    <w:rsid w:val="1AC645F7"/>
    <w:rsid w:val="1BB822C7"/>
    <w:rsid w:val="20A25F30"/>
    <w:rsid w:val="21E173E6"/>
    <w:rsid w:val="21F005F5"/>
    <w:rsid w:val="232F1B3F"/>
    <w:rsid w:val="23C911D5"/>
    <w:rsid w:val="24592E84"/>
    <w:rsid w:val="24901E92"/>
    <w:rsid w:val="256A1D87"/>
    <w:rsid w:val="25F761E7"/>
    <w:rsid w:val="264D71FE"/>
    <w:rsid w:val="27FF0920"/>
    <w:rsid w:val="286447E3"/>
    <w:rsid w:val="2A105FC6"/>
    <w:rsid w:val="2AE63C78"/>
    <w:rsid w:val="2B271EC1"/>
    <w:rsid w:val="2BB40150"/>
    <w:rsid w:val="2BB71BCC"/>
    <w:rsid w:val="2C6E60A1"/>
    <w:rsid w:val="2D1715E7"/>
    <w:rsid w:val="2E85092A"/>
    <w:rsid w:val="2EBF4606"/>
    <w:rsid w:val="2ED14CF3"/>
    <w:rsid w:val="30FA4921"/>
    <w:rsid w:val="33326969"/>
    <w:rsid w:val="35B1068B"/>
    <w:rsid w:val="35E5232C"/>
    <w:rsid w:val="37840ECD"/>
    <w:rsid w:val="37FF53FE"/>
    <w:rsid w:val="38C85E6D"/>
    <w:rsid w:val="3B5B39C4"/>
    <w:rsid w:val="3D0359E9"/>
    <w:rsid w:val="40B32BDF"/>
    <w:rsid w:val="40EE2330"/>
    <w:rsid w:val="415A39FB"/>
    <w:rsid w:val="4197376D"/>
    <w:rsid w:val="41A617F2"/>
    <w:rsid w:val="41BD2DE3"/>
    <w:rsid w:val="41FA139C"/>
    <w:rsid w:val="435651BB"/>
    <w:rsid w:val="452A49CF"/>
    <w:rsid w:val="459F7FD2"/>
    <w:rsid w:val="45AE40CB"/>
    <w:rsid w:val="47235793"/>
    <w:rsid w:val="48D44D76"/>
    <w:rsid w:val="49385DFD"/>
    <w:rsid w:val="4C1B585E"/>
    <w:rsid w:val="4EF47F1A"/>
    <w:rsid w:val="4F592036"/>
    <w:rsid w:val="503E3460"/>
    <w:rsid w:val="511972CF"/>
    <w:rsid w:val="52821052"/>
    <w:rsid w:val="530B5E48"/>
    <w:rsid w:val="543147EB"/>
    <w:rsid w:val="57D414D3"/>
    <w:rsid w:val="589F35FC"/>
    <w:rsid w:val="59B63288"/>
    <w:rsid w:val="5A121AF0"/>
    <w:rsid w:val="5C260C4A"/>
    <w:rsid w:val="5D0305DC"/>
    <w:rsid w:val="5E034911"/>
    <w:rsid w:val="5F49460C"/>
    <w:rsid w:val="603231F6"/>
    <w:rsid w:val="6256222E"/>
    <w:rsid w:val="636C7679"/>
    <w:rsid w:val="64AA59B7"/>
    <w:rsid w:val="6596211F"/>
    <w:rsid w:val="668038F0"/>
    <w:rsid w:val="68380177"/>
    <w:rsid w:val="68B1090F"/>
    <w:rsid w:val="6A444599"/>
    <w:rsid w:val="6AD61C01"/>
    <w:rsid w:val="6BD521C6"/>
    <w:rsid w:val="6CDC776C"/>
    <w:rsid w:val="6E4D6DE6"/>
    <w:rsid w:val="6E746314"/>
    <w:rsid w:val="6ECD5472"/>
    <w:rsid w:val="700440C6"/>
    <w:rsid w:val="71E75A85"/>
    <w:rsid w:val="722766F3"/>
    <w:rsid w:val="727872FE"/>
    <w:rsid w:val="729F0E5A"/>
    <w:rsid w:val="737260DB"/>
    <w:rsid w:val="744B3251"/>
    <w:rsid w:val="74522614"/>
    <w:rsid w:val="7507115E"/>
    <w:rsid w:val="75540026"/>
    <w:rsid w:val="768F4A24"/>
    <w:rsid w:val="76F80C4B"/>
    <w:rsid w:val="776C5CF8"/>
    <w:rsid w:val="7A5D4458"/>
    <w:rsid w:val="7C803EEC"/>
    <w:rsid w:val="7E1060F2"/>
    <w:rsid w:val="7E1821EF"/>
    <w:rsid w:val="7F656D91"/>
    <w:rsid w:val="7FE7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4">
    <w:name w:val="Date"/>
    <w:basedOn w:val="1"/>
    <w:next w:val="1"/>
    <w:link w:val="14"/>
    <w:qFormat/>
    <w:uiPriority w:val="0"/>
    <w:pPr>
      <w:ind w:left="100" w:leftChars="25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character" w:customStyle="1" w:styleId="12">
    <w:name w:val="Hyperlink.0"/>
    <w:basedOn w:val="13"/>
    <w:qFormat/>
    <w:uiPriority w:val="0"/>
    <w:rPr>
      <w:rFonts w:ascii="??_GB2312" w:hAnsi="??_GB2312" w:eastAsia="??_GB2312"/>
      <w:w w:val="100"/>
      <w:sz w:val="32"/>
      <w:szCs w:val="32"/>
      <w:shd w:val="clear" w:color="000000" w:fill="auto"/>
    </w:rPr>
  </w:style>
  <w:style w:type="character" w:customStyle="1" w:styleId="13">
    <w:name w:val="页码1"/>
    <w:qFormat/>
    <w:uiPriority w:val="99"/>
    <w:rPr>
      <w:lang w:val="zh-TW" w:eastAsia="zh-TW"/>
    </w:rPr>
  </w:style>
  <w:style w:type="character" w:customStyle="1" w:styleId="14">
    <w:name w:val="日期 Char"/>
    <w:basedOn w:val="9"/>
    <w:link w:val="4"/>
    <w:qFormat/>
    <w:uiPriority w:val="0"/>
    <w:rPr>
      <w:kern w:val="2"/>
      <w:sz w:val="21"/>
      <w:szCs w:val="22"/>
    </w:rPr>
  </w:style>
  <w:style w:type="paragraph" w:customStyle="1" w:styleId="15">
    <w:name w:val="p0"/>
    <w:basedOn w:val="1"/>
    <w:qFormat/>
    <w:uiPriority w:val="0"/>
    <w:pPr>
      <w:widowControl/>
      <w:jc w:val="left"/>
    </w:pPr>
    <w:rPr>
      <w:rFonts w:ascii="宋体" w:hAnsi="宋体" w:cs="宋体"/>
      <w:kern w:val="0"/>
      <w:sz w:val="24"/>
      <w:szCs w:val="24"/>
    </w:rPr>
  </w:style>
  <w:style w:type="paragraph" w:styleId="16">
    <w:name w:val="List Paragraph"/>
    <w:basedOn w:val="1"/>
    <w:unhideWhenUsed/>
    <w:qFormat/>
    <w:uiPriority w:val="99"/>
    <w:pPr>
      <w:ind w:firstLine="420" w:firstLineChars="200"/>
    </w:pPr>
  </w:style>
  <w:style w:type="paragraph" w:customStyle="1" w:styleId="17">
    <w:name w:val="正文 A"/>
    <w:qFormat/>
    <w:uiPriority w:val="99"/>
    <w:pPr>
      <w:widowControl w:val="0"/>
      <w:jc w:val="both"/>
    </w:pPr>
    <w:rPr>
      <w:rFonts w:ascii="Arial Unicode MS" w:hAnsi="Arial Unicode MS" w:eastAsia="宋体"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931</Words>
  <Characters>5307</Characters>
  <Lines>44</Lines>
  <Paragraphs>12</Paragraphs>
  <TotalTime>2</TotalTime>
  <ScaleCrop>false</ScaleCrop>
  <LinksUpToDate>false</LinksUpToDate>
  <CharactersWithSpaces>6226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彗心</cp:lastModifiedBy>
  <dcterms:modified xsi:type="dcterms:W3CDTF">2021-06-23T10:18:53Z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