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E24D65" w:rsidRPr="00E24D65" w:rsidRDefault="00E24D65" w:rsidP="00E24D65">
      <w:pPr>
        <w:pStyle w:val="a0"/>
      </w:pPr>
    </w:p>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P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r w:rsidRPr="00413624">
        <w:rPr>
          <w:rFonts w:ascii="方正小标宋简体" w:eastAsia="方正小标宋简体" w:hAnsi="方正小标宋简体" w:cs="方正小标宋简体" w:hint="eastAsia"/>
          <w:color w:val="000000" w:themeColor="text1"/>
          <w:sz w:val="44"/>
          <w:szCs w:val="44"/>
        </w:rPr>
        <w:t>201</w:t>
      </w:r>
      <w:r>
        <w:rPr>
          <w:rFonts w:ascii="方正小标宋简体" w:eastAsia="方正小标宋简体" w:hAnsi="方正小标宋简体" w:cs="方正小标宋简体" w:hint="eastAsia"/>
          <w:color w:val="000000" w:themeColor="text1"/>
          <w:sz w:val="44"/>
          <w:szCs w:val="44"/>
        </w:rPr>
        <w:t>9</w:t>
      </w:r>
      <w:r w:rsidRPr="00413624">
        <w:rPr>
          <w:rFonts w:ascii="方正小标宋简体" w:eastAsia="方正小标宋简体" w:hAnsi="方正小标宋简体" w:cs="方正小标宋简体" w:hint="eastAsia"/>
          <w:color w:val="000000" w:themeColor="text1"/>
          <w:sz w:val="44"/>
          <w:szCs w:val="44"/>
        </w:rPr>
        <w:t>年部门决算公开</w:t>
      </w:r>
    </w:p>
    <w:p w:rsidR="00413624" w:rsidRP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P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Pr="00413624" w:rsidRDefault="00413624" w:rsidP="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Pr="00413624" w:rsidRDefault="00413624" w:rsidP="00413624">
      <w:pPr>
        <w:overflowPunct w:val="0"/>
        <w:spacing w:line="600" w:lineRule="exact"/>
        <w:jc w:val="center"/>
        <w:rPr>
          <w:rFonts w:ascii="黑体" w:eastAsia="黑体" w:hAnsi="黑体" w:cs="方正小标宋简体"/>
          <w:color w:val="000000" w:themeColor="text1"/>
          <w:sz w:val="32"/>
          <w:szCs w:val="32"/>
        </w:rPr>
      </w:pPr>
      <w:r w:rsidRPr="00413624">
        <w:rPr>
          <w:rFonts w:ascii="黑体" w:eastAsia="黑体" w:hAnsi="黑体" w:cs="方正小标宋简体" w:hint="eastAsia"/>
          <w:color w:val="000000" w:themeColor="text1"/>
          <w:sz w:val="32"/>
          <w:szCs w:val="32"/>
        </w:rPr>
        <w:t>单位：益阳市商务局离退休干部服务中心</w:t>
      </w: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413624" w:rsidRDefault="00413624">
      <w:pPr>
        <w:overflowPunct w:val="0"/>
        <w:spacing w:line="600" w:lineRule="exact"/>
        <w:jc w:val="center"/>
        <w:rPr>
          <w:rFonts w:ascii="方正小标宋简体" w:eastAsia="方正小标宋简体" w:hAnsi="方正小标宋简体" w:cs="方正小标宋简体"/>
          <w:color w:val="000000" w:themeColor="text1"/>
          <w:sz w:val="44"/>
          <w:szCs w:val="44"/>
        </w:rPr>
      </w:pP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目 录</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Pr="00413624" w:rsidRDefault="0089666D" w:rsidP="00413624">
      <w:pPr>
        <w:overflowPunct w:val="0"/>
        <w:spacing w:line="600" w:lineRule="exact"/>
        <w:ind w:firstLineChars="200" w:firstLine="643"/>
        <w:rPr>
          <w:rFonts w:ascii="仿宋" w:eastAsia="仿宋" w:hAnsi="仿宋" w:cs="仿宋"/>
          <w:b/>
          <w:color w:val="000000" w:themeColor="text1"/>
          <w:sz w:val="32"/>
          <w:szCs w:val="32"/>
        </w:rPr>
      </w:pPr>
      <w:r w:rsidRPr="00413624">
        <w:rPr>
          <w:rFonts w:ascii="仿宋" w:eastAsia="仿宋" w:hAnsi="仿宋" w:cs="仿宋" w:hint="eastAsia"/>
          <w:b/>
          <w:color w:val="000000" w:themeColor="text1"/>
          <w:sz w:val="32"/>
          <w:szCs w:val="32"/>
        </w:rPr>
        <w:t>第一部分 益阳市商务局离退休干部管理服务中心概况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一、部门职责</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二、机构设置</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三、部门决算单位构成</w:t>
      </w:r>
    </w:p>
    <w:p w:rsidR="00413624" w:rsidRPr="00413624" w:rsidRDefault="00413624" w:rsidP="00413624">
      <w:pPr>
        <w:pStyle w:val="a0"/>
      </w:pPr>
    </w:p>
    <w:p w:rsidR="00BC2750" w:rsidRPr="00413624" w:rsidRDefault="0089666D" w:rsidP="00413624">
      <w:pPr>
        <w:overflowPunct w:val="0"/>
        <w:spacing w:line="600" w:lineRule="exact"/>
        <w:ind w:firstLineChars="200" w:firstLine="643"/>
        <w:rPr>
          <w:rFonts w:ascii="仿宋" w:eastAsia="仿宋" w:hAnsi="仿宋" w:cs="仿宋"/>
          <w:b/>
          <w:color w:val="000000" w:themeColor="text1"/>
          <w:sz w:val="32"/>
          <w:szCs w:val="32"/>
        </w:rPr>
      </w:pPr>
      <w:r w:rsidRPr="00413624">
        <w:rPr>
          <w:rFonts w:ascii="仿宋" w:eastAsia="仿宋" w:hAnsi="仿宋" w:cs="仿宋" w:hint="eastAsia"/>
          <w:b/>
          <w:color w:val="000000" w:themeColor="text1"/>
          <w:sz w:val="32"/>
          <w:szCs w:val="32"/>
        </w:rPr>
        <w:t>第二部分 益阳市商务局离退休干部管理服务中心2019 年度部门决算表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二、收入决算表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四、财政拨款收入支出决算总表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五、一般公共预算财政拨款支出决算表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六、一般公共预算财政拨款基本支出决算表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七、一般公共预算财政拨款“三公”经费支出决算表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八、政府性基金预算财政拨款收入支出决算表</w:t>
      </w:r>
    </w:p>
    <w:p w:rsidR="00413624" w:rsidRPr="00413624" w:rsidRDefault="00413624" w:rsidP="00413624">
      <w:pPr>
        <w:pStyle w:val="a0"/>
      </w:pPr>
    </w:p>
    <w:p w:rsidR="00BC2750" w:rsidRPr="00413624" w:rsidRDefault="0089666D" w:rsidP="00413624">
      <w:pPr>
        <w:overflowPunct w:val="0"/>
        <w:spacing w:line="600" w:lineRule="exact"/>
        <w:ind w:firstLineChars="200" w:firstLine="643"/>
        <w:rPr>
          <w:rFonts w:ascii="仿宋" w:eastAsia="仿宋" w:hAnsi="仿宋" w:cs="仿宋"/>
          <w:b/>
          <w:color w:val="000000" w:themeColor="text1"/>
          <w:sz w:val="32"/>
          <w:szCs w:val="32"/>
        </w:rPr>
      </w:pPr>
      <w:r w:rsidRPr="00413624">
        <w:rPr>
          <w:rFonts w:ascii="仿宋" w:eastAsia="仿宋" w:hAnsi="仿宋" w:cs="仿宋" w:hint="eastAsia"/>
          <w:b/>
          <w:color w:val="000000" w:themeColor="text1"/>
          <w:sz w:val="32"/>
          <w:szCs w:val="32"/>
        </w:rPr>
        <w:t>第三部分 益阳市商务局离退休干部管理服务中心2019年度部门决算情况说明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一、收入支出决算总体情况说明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二、收入决算情况说明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三、支出决算情况说明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四、财政拨款收入支出决算总体情况说明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五、一般公共预算财政拨款支出决算情况说明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六、一般公共预算财政拨款基本支出决算情况说明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七、政府性基金预算财政拨款支出决算情况说明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八、一般公共预算财政拨款“三公”经费支出决算情况说明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九、预算绩效情况说明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十、其他重要事项情况说明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第四部分 名词解释</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第五部分 附件</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第一部分  益阳市商务局离退休干部管理</w:t>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服务中心概况</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一、部门职责</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（一）根据市编办发（2002）49号文件精神，益阳市商务局离退休干部管理服务中心承担原市物资、商业行业办机关老干部管理和服务工作，贯彻落实国家、省、市对离退休干部的相关政策。</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（二）负责物资、商业两个家属大院的物业管理、治安、稳定工作。并制定与大院相关的治安、消防、维修维护、卫生等方面的制度。</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二、机构设置</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离退休干部管理服务中心设人事室、财务室、商业大院管理委员会和物资大院管理委员会。中心年初在职13人，退休人员52人，离休人员7人；年末在职人员11人，退休人员53人，离休人员6人；本年度2人退休，1退休人员死亡，1离退休人员死亡。</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三、部门决算单位构成</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从决算单位构成看，益阳市商务局离退休干部管理服务中心</w:t>
      </w:r>
      <w:r w:rsidR="00BB7590">
        <w:rPr>
          <w:rFonts w:ascii="仿宋" w:eastAsia="仿宋" w:hAnsi="仿宋" w:cs="仿宋" w:hint="eastAsia"/>
          <w:color w:val="000000" w:themeColor="text1"/>
          <w:sz w:val="32"/>
        </w:rPr>
        <w:t>只有本级，没有其他决算单位，因此本单位</w:t>
      </w:r>
      <w:r w:rsidR="00BB7590">
        <w:rPr>
          <w:rFonts w:ascii="仿宋" w:eastAsia="仿宋" w:hAnsi="仿宋" w:cs="仿宋"/>
          <w:color w:val="000000" w:themeColor="text1"/>
          <w:sz w:val="32"/>
        </w:rPr>
        <w:t>部门决算</w:t>
      </w:r>
      <w:r w:rsidR="00BB7590">
        <w:rPr>
          <w:rFonts w:ascii="仿宋" w:eastAsia="仿宋" w:hAnsi="仿宋" w:cs="仿宋" w:hint="eastAsia"/>
          <w:color w:val="000000" w:themeColor="text1"/>
          <w:sz w:val="32"/>
        </w:rPr>
        <w:t>仅含本级</w:t>
      </w:r>
      <w:r w:rsidR="00BB7590">
        <w:rPr>
          <w:rFonts w:ascii="仿宋" w:eastAsia="仿宋" w:hAnsi="仿宋" w:cs="仿宋"/>
          <w:color w:val="000000" w:themeColor="text1"/>
          <w:sz w:val="32"/>
        </w:rPr>
        <w:t>决算</w:t>
      </w:r>
      <w:r w:rsidR="00BB7590">
        <w:rPr>
          <w:rFonts w:ascii="仿宋" w:eastAsia="仿宋" w:hAnsi="仿宋" w:cs="仿宋" w:hint="eastAsia"/>
          <w:color w:val="000000" w:themeColor="text1"/>
          <w:sz w:val="32"/>
        </w:rPr>
        <w:t>。</w:t>
      </w:r>
    </w:p>
    <w:tbl>
      <w:tblPr>
        <w:tblW w:w="8424" w:type="dxa"/>
        <w:tblInd w:w="98" w:type="dxa"/>
        <w:tblLayout w:type="fixed"/>
        <w:tblCellMar>
          <w:left w:w="10" w:type="dxa"/>
          <w:right w:w="10" w:type="dxa"/>
        </w:tblCellMar>
        <w:tblLook w:val="04A0"/>
      </w:tblPr>
      <w:tblGrid>
        <w:gridCol w:w="2212"/>
        <w:gridCol w:w="6212"/>
      </w:tblGrid>
      <w:tr w:rsidR="00BC2750">
        <w:trPr>
          <w:trHeight w:val="90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750" w:rsidRDefault="0089666D">
            <w:pPr>
              <w:overflowPunct w:val="0"/>
              <w:spacing w:line="300" w:lineRule="exact"/>
              <w:jc w:val="center"/>
              <w:rPr>
                <w:rFonts w:asciiTheme="majorEastAsia" w:eastAsiaTheme="majorEastAsia" w:hAnsiTheme="majorEastAsia" w:cstheme="majorEastAsia"/>
                <w:bCs/>
                <w:color w:val="000000" w:themeColor="text1"/>
                <w:sz w:val="24"/>
              </w:rPr>
            </w:pPr>
            <w:r>
              <w:rPr>
                <w:rFonts w:asciiTheme="majorEastAsia" w:eastAsiaTheme="majorEastAsia" w:hAnsiTheme="majorEastAsia" w:cstheme="majorEastAsia" w:hint="eastAsia"/>
                <w:bCs/>
                <w:color w:val="000000" w:themeColor="text1"/>
                <w:sz w:val="24"/>
              </w:rPr>
              <w:lastRenderedPageBreak/>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750" w:rsidRDefault="0089666D">
            <w:pPr>
              <w:overflowPunct w:val="0"/>
              <w:spacing w:line="300" w:lineRule="exact"/>
              <w:jc w:val="center"/>
              <w:rPr>
                <w:rFonts w:asciiTheme="majorEastAsia" w:eastAsiaTheme="majorEastAsia" w:hAnsiTheme="majorEastAsia" w:cstheme="majorEastAsia"/>
                <w:bCs/>
                <w:color w:val="000000" w:themeColor="text1"/>
                <w:sz w:val="24"/>
              </w:rPr>
            </w:pPr>
            <w:r>
              <w:rPr>
                <w:rFonts w:asciiTheme="majorEastAsia" w:eastAsiaTheme="majorEastAsia" w:hAnsiTheme="majorEastAsia" w:cstheme="majorEastAsia" w:hint="eastAsia"/>
                <w:bCs/>
                <w:color w:val="000000" w:themeColor="text1"/>
                <w:sz w:val="24"/>
              </w:rPr>
              <w:t>单位名称</w:t>
            </w:r>
          </w:p>
        </w:tc>
      </w:tr>
      <w:tr w:rsidR="00BC2750">
        <w:trPr>
          <w:trHeight w:val="90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750" w:rsidRDefault="0089666D">
            <w:pPr>
              <w:overflowPunct w:val="0"/>
              <w:spacing w:line="300" w:lineRule="exact"/>
              <w:jc w:val="center"/>
              <w:rPr>
                <w:rFonts w:asciiTheme="majorEastAsia" w:eastAsiaTheme="majorEastAsia" w:hAnsiTheme="majorEastAsia" w:cstheme="majorEastAsia"/>
                <w:bCs/>
                <w:color w:val="000000" w:themeColor="text1"/>
                <w:sz w:val="24"/>
              </w:rPr>
            </w:pPr>
            <w:r>
              <w:rPr>
                <w:rFonts w:asciiTheme="majorEastAsia" w:eastAsiaTheme="majorEastAsia" w:hAnsiTheme="majorEastAsia" w:cstheme="majorEastAsia" w:hint="eastAsia"/>
                <w:bCs/>
                <w:color w:val="000000" w:themeColor="text1"/>
                <w:sz w:val="24"/>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2750" w:rsidRDefault="0089666D">
            <w:pPr>
              <w:overflowPunct w:val="0"/>
              <w:spacing w:line="300" w:lineRule="exact"/>
              <w:jc w:val="center"/>
              <w:rPr>
                <w:rFonts w:asciiTheme="majorEastAsia" w:eastAsiaTheme="majorEastAsia" w:hAnsiTheme="majorEastAsia" w:cstheme="majorEastAsia"/>
                <w:bCs/>
                <w:color w:val="000000" w:themeColor="text1"/>
                <w:sz w:val="24"/>
              </w:rPr>
            </w:pPr>
            <w:r>
              <w:rPr>
                <w:rFonts w:asciiTheme="majorEastAsia" w:eastAsiaTheme="majorEastAsia" w:hAnsiTheme="majorEastAsia" w:cstheme="majorEastAsia" w:hint="eastAsia"/>
                <w:color w:val="000000" w:themeColor="text1"/>
                <w:sz w:val="24"/>
              </w:rPr>
              <w:t>益阳市商务局离退休干部管理服务中心</w:t>
            </w:r>
          </w:p>
        </w:tc>
      </w:tr>
    </w:tbl>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第二部分  益阳市商务局离退休干部管理</w:t>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服务中心2019 年度部门决算表</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表1：收入支出决算总表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表2：收入决算表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表3：支出决算表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表4：财政拨款收入支出决算总表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表5：一般公共预算财政拨款支出决算表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表6：一般公共预算财政拨款基本支出决算表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表7：一般公共预算财政拨款“三公”经费支出决算表</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表8：政府性基金预算财政拨款收入支出决算表</w:t>
      </w:r>
    </w:p>
    <w:p w:rsidR="00E24D65" w:rsidRDefault="00E24D65">
      <w:pPr>
        <w:pStyle w:val="a6"/>
        <w:shd w:val="clear" w:color="auto" w:fill="FFFFFF"/>
        <w:overflowPunct w:val="0"/>
        <w:spacing w:beforeAutospacing="0" w:afterAutospacing="0" w:line="600" w:lineRule="exact"/>
        <w:ind w:firstLineChars="200" w:firstLine="640"/>
        <w:jc w:val="both"/>
        <w:rPr>
          <w:rFonts w:ascii="仿宋" w:eastAsia="仿宋" w:hAnsi="仿宋" w:cs="仿宋"/>
          <w:color w:val="000000" w:themeColor="text1"/>
          <w:kern w:val="2"/>
          <w:sz w:val="32"/>
          <w:szCs w:val="32"/>
        </w:rPr>
      </w:pPr>
    </w:p>
    <w:p w:rsidR="00BC2750" w:rsidRDefault="00E24D65">
      <w:pPr>
        <w:pStyle w:val="a6"/>
        <w:shd w:val="clear" w:color="auto" w:fill="FFFFFF"/>
        <w:overflowPunct w:val="0"/>
        <w:spacing w:beforeAutospacing="0" w:afterAutospacing="0" w:line="600" w:lineRule="exact"/>
        <w:ind w:firstLineChars="200" w:firstLine="640"/>
        <w:jc w:val="both"/>
        <w:rPr>
          <w:rFonts w:ascii="仿宋" w:eastAsia="仿宋" w:hAnsi="仿宋" w:cs="仿宋"/>
          <w:color w:val="000000" w:themeColor="text1"/>
          <w:kern w:val="2"/>
          <w:sz w:val="32"/>
          <w:szCs w:val="32"/>
        </w:rPr>
      </w:pPr>
      <w:r>
        <w:rPr>
          <w:rFonts w:ascii="仿宋" w:eastAsia="仿宋" w:hAnsi="仿宋" w:cs="仿宋" w:hint="eastAsia"/>
          <w:color w:val="000000" w:themeColor="text1"/>
          <w:kern w:val="2"/>
          <w:sz w:val="32"/>
          <w:szCs w:val="32"/>
        </w:rPr>
        <w:t>（</w:t>
      </w:r>
      <w:r w:rsidR="0089666D">
        <w:rPr>
          <w:rFonts w:ascii="仿宋" w:eastAsia="仿宋" w:hAnsi="仿宋" w:cs="仿宋" w:hint="eastAsia"/>
          <w:color w:val="000000" w:themeColor="text1"/>
          <w:kern w:val="2"/>
          <w:sz w:val="32"/>
          <w:szCs w:val="32"/>
        </w:rPr>
        <w:t>注：以上部门决算报表中</w:t>
      </w:r>
      <w:r>
        <w:rPr>
          <w:rFonts w:ascii="仿宋" w:eastAsia="仿宋" w:hAnsi="仿宋" w:cs="仿宋" w:hint="eastAsia"/>
          <w:color w:val="000000" w:themeColor="text1"/>
          <w:kern w:val="2"/>
          <w:sz w:val="32"/>
          <w:szCs w:val="32"/>
        </w:rPr>
        <w:t>，</w:t>
      </w:r>
      <w:r w:rsidR="0089666D">
        <w:rPr>
          <w:rFonts w:ascii="仿宋" w:eastAsia="仿宋" w:hAnsi="仿宋" w:cs="仿宋" w:hint="eastAsia"/>
          <w:color w:val="000000" w:themeColor="text1"/>
          <w:kern w:val="2"/>
          <w:sz w:val="32"/>
          <w:szCs w:val="32"/>
        </w:rPr>
        <w:t>空表表示本部门无相关收支情况。</w:t>
      </w:r>
      <w:r>
        <w:rPr>
          <w:rFonts w:ascii="仿宋" w:eastAsia="仿宋" w:hAnsi="仿宋" w:cs="仿宋" w:hint="eastAsia"/>
          <w:color w:val="000000" w:themeColor="text1"/>
          <w:kern w:val="2"/>
          <w:sz w:val="32"/>
          <w:szCs w:val="32"/>
        </w:rPr>
        <w:t>详见附件1）</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第三部分  益阳市商务局离退休干部管理</w:t>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服务中心2019 年度部门决算情况说明</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一、关于益阳市商务局离退休干部管理服务中心 2019 年度收入支出决算总体情况说明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离退休干部管理服务中心2019年度收入总计421.82万元，比上年同期减少40.9万元，下降8.84%，主要原因是厉行节约，压减了基本支出的日常公用经费；支出总计423.45万元，比上年同期减少20.25万元，下降4.56%，主要原因是厉行节约，压减了基本支出的日常公用经费。</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二、关于益阳市商务局离退休干部管理服务中心2019 年度收入决算情况说明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2019年度收入合计 421.82万元，其中：财政拨款收入421.82万元，占 100%；事业收入0万元，占0%；经营收入0万元，占 0%；其他收入0万元，占0%。</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三、关于益阳市商务局离退休干部管理服务中心2019年度支出决算情况说明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2019年度支出合计423.45万元，其中：基本支出423.45万元，占 100%；项目支出0万元，占0%；经营支出0万元，占 0%。</w:t>
      </w:r>
      <w:bookmarkStart w:id="0" w:name="_GoBack"/>
      <w:bookmarkEnd w:id="0"/>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四、关于益阳市商务局离退休干部管理服务中心2019 年度</w:t>
      </w:r>
      <w:r>
        <w:rPr>
          <w:rFonts w:ascii="黑体" w:eastAsia="黑体" w:hAnsi="黑体" w:cs="黑体" w:hint="eastAsia"/>
          <w:color w:val="000000" w:themeColor="text1"/>
          <w:sz w:val="32"/>
          <w:szCs w:val="32"/>
        </w:rPr>
        <w:lastRenderedPageBreak/>
        <w:t>财政拨款收入支出决算总体情况说明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 年度财政拨款收入总计421.82万元，比上年同期减少40.9万元，下降8.84%，主要原因是厉行节约，压减了基本支出的日常公用经费；财政拨款支出总计423.45万元，比上年同期减少20.25万元，下降4.56%，主要原因是厉行节约，压减了基本支出的日常公用经费。</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五、关于益阳市商务局离退休干部管理服务中心2019 年度一般公共预算财政拨款收入支出决算情况说明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（一）一般公共预算财政拨款收入支出决算总体情况。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 年度一般公共预算财政拨款收入总计421.82万元，比上年同期减少40.9万元，下降8.84%，主要原因是厉行节约，压减了基本支出的日常公用经费；一般公共预算财政拨款支出总计423.45万元，比上年同期减少20.25万元，下降4.56%，主要原因是厉行节约，压减了基本支出的日常公用经费。</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（二）一般公共预算财政拨款支出决算构成情况。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 年度财政拨款支出423.45万元，主要用于以下方面：一般公共服务（类）支出364.11 万元，占 85.99%；教育（类）支出7.11万元，占1.68%； 社会保障和就业（类）支出40.75 万元，占9.62%； 住房保障（类）支出 11.48万元，占 2.71%。</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（三）一般公共预算财政拨款支出决算具体情况。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 年度财政拨款支出年初预算为 330.49万元，支出决</w:t>
      </w:r>
      <w:r>
        <w:rPr>
          <w:rFonts w:ascii="仿宋" w:eastAsia="仿宋" w:hAnsi="仿宋" w:cs="仿宋" w:hint="eastAsia"/>
          <w:color w:val="000000" w:themeColor="text1"/>
          <w:sz w:val="32"/>
          <w:szCs w:val="32"/>
        </w:rPr>
        <w:lastRenderedPageBreak/>
        <w:t>算为423.45万元，完成年初预算的 128.13%。其中：</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 一般公共服务（类）支出财政拨款支出年初预算为 289.17万元，支出决算为364.11万元，主要用于人员支出及商品服务支出。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 教育（类）支出财政拨款支出年初预算为 0万元，支出决算为7.11万元，主要用于基层党组织教育培训支出。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 卫生健康（类）支出财政拨款支出年初预算为 29.84万元，支出决算为0万元。主要用于行政事业单位医疗保险。</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 社会保障和就业（类）支出财政拨款支出年初预算为0万元，支出决算为40.75 万元。主要用于老干部死亡抚恤。</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 住房保障（类）支出财政拨款支出年初预算为 11.48万元，支出决算为11.48万元。主要用于配缴职工住房公积金。</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六、关于益阳市商务局离退休干部管理服务中心2019 年度一般公共预算财政拨款基本支出决算情况说明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2019年度一般公共预算财政拨款基本支出423.45万元，其中人员经费支出369.73万元，主要包括：基本工资、津贴补贴、奖金、养老保险金、医疗保险金、住房公积金、其他工资福利支出等；公用经费支出 53.72万元。主要包括：办公费、印刷费、邮电费、物业管理费、差旅费、会议费、培训费、公务接待费、工会经费、福利费、公务用车运行维护费、其他交通费等。</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七、关于益阳市商务局离退休干部管理服务中心2019年度</w:t>
      </w:r>
      <w:r>
        <w:rPr>
          <w:rFonts w:ascii="黑体" w:eastAsia="黑体" w:hAnsi="黑体" w:cs="黑体" w:hint="eastAsia"/>
          <w:color w:val="000000" w:themeColor="text1"/>
          <w:sz w:val="32"/>
          <w:szCs w:val="32"/>
        </w:rPr>
        <w:lastRenderedPageBreak/>
        <w:t>政府性基金预算财政拨款支出决算情况说明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益阳市商务局离退休干部管理服务中心2019年度没有政府性基金收入，也没有政府性基金安排的支出。</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八、关于益阳市商务局离退休干部管理服务中心2019 年度一般公共预算财政拨款“三公”经费支出决算情况说明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（一）“三公”经费财政拨款支出决算总体情况说明。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 年度“三公”经费财政拨款支出预算为8万元，支出决算为0.39万元，完成预算的4.88%，其中：因公出国（境）费支出决算为 0万元，完成预算的0%；公务用车购置及运行费支出决算为0万元，完成预算的0%；公务接待费支出决算为0.39万元，完成预算的4.88%。2019 年度“三公”经费支出决算数小于预算数的主要原因：压减开支。</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（二）“三公”经费财政拨款支出决算具体情况说明。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2019 年度“三公”经费财政拨款支出决算为0.39万元，其中：因公出国（境）费支出决算为 0万元，占0%；公务用车购置及运行费支出决算为0万元，占0%；公务接待费支出决算为 0.39万元，占100%。2019年决算三公经费0.39万元，比上年同期增加了0.23万元，同比增长143.75%，主要原因：老干支部活动增加。</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1、因公出国（境）情况说明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因公出国（境）团组数0个，0人。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2、公务用车购置及运行经费情况说明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公务用车购置支出：0万元，购置数0台，保有量0台</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运行经费支出：0万元。</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3、公务接待情况说明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公务接待支出0.39万元，国内公务接待7批次，接待80人。</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九、关于 2019 年度预算绩效情况说明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根据预算绩效管理要求，益阳市商务局离退休干部管理服务中心组织对 2019 年度一般公共预算支出全面开展绩效自评，其中包含人员经费支出和公用经费支出，共涉及资金421.82万元，占一般公共预算项目支出总额的100%。从评价情况来看，管理规范，预算执行及时、有效，为上级有关部门决策提供了较为有力的支撑，绩效目标得到较好实现，绩效管理水平不断提高。</w:t>
      </w:r>
    </w:p>
    <w:p w:rsidR="00BC2750" w:rsidRDefault="0089666D">
      <w:pPr>
        <w:overflowPunct w:val="0"/>
        <w:spacing w:line="60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十、其他重要事项的情况说明</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（一）预决算收支增减变化情况。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益阳市商务局离退休干部管理服务中心2019 年度财政拨款收入年初预算为 330.49万元，决算收入为421.82万元，完成年初预算的127.63%，比上年同期减少40.9万元，下降8.84%，主要原因是厉行节约，压减了基本支出的日常公用经费；2019 年度财政拨款支出年初预算为 330.49万元，支出决算为423.45万元，完成年初预算的128.13%，比上年同期减少20.25万元，下降4.56%，主要原因是厉行节约，压减了基本支出的日常公用</w:t>
      </w:r>
      <w:r>
        <w:rPr>
          <w:rFonts w:ascii="仿宋" w:eastAsia="仿宋" w:hAnsi="仿宋" w:cs="仿宋" w:hint="eastAsia"/>
          <w:color w:val="000000" w:themeColor="text1"/>
          <w:sz w:val="32"/>
          <w:szCs w:val="32"/>
        </w:rPr>
        <w:lastRenderedPageBreak/>
        <w:t>经费。</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（二）机关运行经费支出情况。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本部门为全额事业单位，不属于机关运行经费统计范围。</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（三）政府采购支出情况。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本部门2019年度无政府采购。</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（四）国有资产占用情况。</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截至2019年12月31日，本部门共有车辆</w:t>
      </w:r>
      <w:r w:rsidR="00690746">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辆，其中，领导干部用车0辆、一般公务用车0辆、一般执法执勤用车0辆、特种专业技术用车0辆、其他用车0辆；单位价值50万元以上通用设备0台(套)，单价100万正以上专用设备0台(套)</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第四部分  名词解释</w:t>
      </w:r>
    </w:p>
    <w:p w:rsidR="00BC2750" w:rsidRDefault="00BC2750">
      <w:pPr>
        <w:pStyle w:val="a0"/>
      </w:pP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一、财政拨款收入：指中央财政当年拨付的资金。</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三、经营收入：指事业单位在专业业务活动及其辅助活动之外开展非独立核算经营活动取得的收入。如：中国财政杂志社广告收入等。</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四、其他收入：指除上述“财政拨款收入” 、 “事业收入” 、“经营收入”等以外的收入。主要是按规定动用的售房收入、存款利息收入等。</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六、年初结转和结余：指以前年度尚未完成、结转到本年按有关规定继续使用的资金。</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七、结余分配：指事业单位按规定提取的职工福利基金、事</w:t>
      </w:r>
      <w:r>
        <w:rPr>
          <w:rFonts w:ascii="仿宋" w:eastAsia="仿宋" w:hAnsi="仿宋" w:cs="仿宋" w:hint="eastAsia"/>
          <w:color w:val="000000" w:themeColor="text1"/>
          <w:sz w:val="32"/>
          <w:szCs w:val="32"/>
        </w:rPr>
        <w:lastRenderedPageBreak/>
        <w:t>业基金和缴纳的所得税，以及建设单位按规定应交回的基本建设竣工项目结余资金。</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八、年末结转和结余：指本年度或以前年度预算安排、因客观条件发生变化无法按原计划实施，需要延迟到以后年度按有关规定继续使用的资金。</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九、基本支出：指为保障机构正常运转、完成日常工作任务而发生的人员支出和公用支出。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十、项目支出：指在基本支出之外为完成特定行政任务和事业发展目标所发生的支出。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十一、经营支出：指事业单位在专业业务活动及其辅助活动之外开展非独立核算经营活动发生的支出。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BC2750" w:rsidRDefault="0089666D">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十三、机关运行经费：为保障行政单位（含参照公务员法管理的事业单位）运行用于购买货物和服务的各项资金，包括办公</w:t>
      </w:r>
      <w:r>
        <w:rPr>
          <w:rFonts w:ascii="仿宋" w:eastAsia="仿宋" w:hAnsi="仿宋" w:cs="仿宋" w:hint="eastAsia"/>
          <w:color w:val="000000" w:themeColor="text1"/>
          <w:sz w:val="32"/>
          <w:szCs w:val="32"/>
        </w:rPr>
        <w:lastRenderedPageBreak/>
        <w:t>及印刷费、邮电费、差旅费、会议费、福利费、日常维修费、专用材料及一般设备购置费、办公用房水电费、办公用房取暖费、办公用房物业管理费、公务用车运行维护费以及其他费用。</w:t>
      </w:r>
    </w:p>
    <w:p w:rsidR="00BC2750" w:rsidRDefault="00BC2750">
      <w:pPr>
        <w:overflowPunct w:val="0"/>
        <w:spacing w:line="600" w:lineRule="exact"/>
        <w:ind w:firstLineChars="200" w:firstLine="640"/>
        <w:rPr>
          <w:rFonts w:ascii="仿宋" w:eastAsia="仿宋" w:hAnsi="仿宋" w:cs="仿宋"/>
          <w:color w:val="000000" w:themeColor="text1"/>
          <w:sz w:val="32"/>
          <w:szCs w:val="32"/>
        </w:rPr>
      </w:pPr>
    </w:p>
    <w:p w:rsidR="00BC2750" w:rsidRDefault="0089666D">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BC2750" w:rsidRDefault="0089666D">
      <w:pPr>
        <w:overflowPunct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第五部分   附件</w:t>
      </w:r>
    </w:p>
    <w:p w:rsidR="00EE4691" w:rsidRDefault="00EE4691">
      <w:pPr>
        <w:overflowPunct w:val="0"/>
        <w:spacing w:line="600" w:lineRule="exact"/>
        <w:ind w:firstLineChars="200" w:firstLine="640"/>
        <w:rPr>
          <w:rFonts w:ascii="仿宋" w:eastAsia="仿宋" w:hAnsi="仿宋" w:cs="仿宋"/>
          <w:color w:val="000000" w:themeColor="text1"/>
          <w:sz w:val="32"/>
          <w:szCs w:val="32"/>
        </w:rPr>
      </w:pPr>
    </w:p>
    <w:p w:rsidR="00BC2750" w:rsidRDefault="00EE4691">
      <w:pPr>
        <w:overflowPunct w:val="0"/>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附件1：</w:t>
      </w:r>
      <w:r w:rsidR="0089666D">
        <w:rPr>
          <w:rFonts w:ascii="仿宋" w:eastAsia="仿宋" w:hAnsi="仿宋" w:cs="仿宋" w:hint="eastAsia"/>
          <w:color w:val="000000" w:themeColor="text1"/>
          <w:sz w:val="32"/>
          <w:szCs w:val="32"/>
        </w:rPr>
        <w:t>市商务局离退休干部管理服务中心2019年度部门决算公开表</w:t>
      </w:r>
    </w:p>
    <w:sectPr w:rsidR="00BC2750" w:rsidSect="00BC2750">
      <w:footerReference w:type="default" r:id="rId7"/>
      <w:pgSz w:w="11906" w:h="16838"/>
      <w:pgMar w:top="2098" w:right="1531" w:bottom="198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D0" w:rsidRDefault="00FE63D0" w:rsidP="00BC2750">
      <w:r>
        <w:separator/>
      </w:r>
    </w:p>
  </w:endnote>
  <w:endnote w:type="continuationSeparator" w:id="0">
    <w:p w:rsidR="00FE63D0" w:rsidRDefault="00FE63D0" w:rsidP="00BC2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50" w:rsidRDefault="00294E89">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BC2750" w:rsidRDefault="0089666D">
                <w:pPr>
                  <w:pStyle w:val="a4"/>
                  <w:rPr>
                    <w:rFonts w:ascii="仿宋" w:eastAsia="仿宋" w:hAnsi="仿宋" w:cs="仿宋"/>
                    <w:sz w:val="28"/>
                    <w:szCs w:val="28"/>
                  </w:rPr>
                </w:pPr>
                <w:r>
                  <w:rPr>
                    <w:rFonts w:ascii="仿宋" w:eastAsia="仿宋" w:hAnsi="仿宋" w:cs="仿宋" w:hint="eastAsia"/>
                    <w:sz w:val="28"/>
                    <w:szCs w:val="28"/>
                  </w:rPr>
                  <w:t xml:space="preserve">— </w:t>
                </w:r>
                <w:r w:rsidR="00294E89">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sidR="00294E89">
                  <w:rPr>
                    <w:rFonts w:ascii="仿宋" w:eastAsia="仿宋" w:hAnsi="仿宋" w:cs="仿宋" w:hint="eastAsia"/>
                    <w:sz w:val="28"/>
                    <w:szCs w:val="28"/>
                  </w:rPr>
                  <w:fldChar w:fldCharType="separate"/>
                </w:r>
                <w:r w:rsidR="00BB7590">
                  <w:rPr>
                    <w:rFonts w:ascii="仿宋" w:eastAsia="仿宋" w:hAnsi="仿宋" w:cs="仿宋"/>
                    <w:noProof/>
                    <w:sz w:val="28"/>
                    <w:szCs w:val="28"/>
                  </w:rPr>
                  <w:t>4</w:t>
                </w:r>
                <w:r w:rsidR="00294E89">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D0" w:rsidRDefault="00FE63D0" w:rsidP="00BC2750">
      <w:r>
        <w:separator/>
      </w:r>
    </w:p>
  </w:footnote>
  <w:footnote w:type="continuationSeparator" w:id="0">
    <w:p w:rsidR="00FE63D0" w:rsidRDefault="00FE63D0" w:rsidP="00BC2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04701C"/>
    <w:rsid w:val="00294E89"/>
    <w:rsid w:val="003D3EA8"/>
    <w:rsid w:val="00413624"/>
    <w:rsid w:val="005C3366"/>
    <w:rsid w:val="00690746"/>
    <w:rsid w:val="006E1A0E"/>
    <w:rsid w:val="0089666D"/>
    <w:rsid w:val="00A60D5B"/>
    <w:rsid w:val="00BB7590"/>
    <w:rsid w:val="00BC2750"/>
    <w:rsid w:val="00C356F0"/>
    <w:rsid w:val="00E24D65"/>
    <w:rsid w:val="00EE4691"/>
    <w:rsid w:val="00FE63D0"/>
    <w:rsid w:val="05DE24CA"/>
    <w:rsid w:val="14B75943"/>
    <w:rsid w:val="28E72FEE"/>
    <w:rsid w:val="2CD20B5B"/>
    <w:rsid w:val="3804701C"/>
    <w:rsid w:val="38066101"/>
    <w:rsid w:val="409B4C4C"/>
    <w:rsid w:val="427B0EBC"/>
    <w:rsid w:val="42AD29C5"/>
    <w:rsid w:val="4BFD4015"/>
    <w:rsid w:val="5002301A"/>
    <w:rsid w:val="67DE4CFD"/>
    <w:rsid w:val="7BE80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275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BC2750"/>
    <w:rPr>
      <w:rFonts w:ascii="宋体" w:hAnsi="Courier New"/>
    </w:rPr>
  </w:style>
  <w:style w:type="paragraph" w:styleId="a4">
    <w:name w:val="footer"/>
    <w:basedOn w:val="a"/>
    <w:link w:val="Char"/>
    <w:qFormat/>
    <w:rsid w:val="00BC2750"/>
    <w:pPr>
      <w:tabs>
        <w:tab w:val="center" w:pos="4153"/>
        <w:tab w:val="right" w:pos="8306"/>
      </w:tabs>
      <w:snapToGrid w:val="0"/>
      <w:jc w:val="left"/>
    </w:pPr>
    <w:rPr>
      <w:sz w:val="18"/>
      <w:szCs w:val="18"/>
    </w:rPr>
  </w:style>
  <w:style w:type="paragraph" w:styleId="a5">
    <w:name w:val="header"/>
    <w:basedOn w:val="a"/>
    <w:link w:val="Char0"/>
    <w:rsid w:val="00BC275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C2750"/>
    <w:pPr>
      <w:spacing w:beforeAutospacing="1" w:afterAutospacing="1"/>
      <w:jc w:val="left"/>
    </w:pPr>
    <w:rPr>
      <w:rFonts w:cs="Times New Roman"/>
      <w:kern w:val="0"/>
      <w:sz w:val="24"/>
    </w:rPr>
  </w:style>
  <w:style w:type="character" w:customStyle="1" w:styleId="Char0">
    <w:name w:val="页眉 Char"/>
    <w:basedOn w:val="a1"/>
    <w:link w:val="a5"/>
    <w:rsid w:val="00BC2750"/>
    <w:rPr>
      <w:rFonts w:asciiTheme="minorHAnsi" w:eastAsiaTheme="minorEastAsia" w:hAnsiTheme="minorHAnsi" w:cstheme="minorBidi"/>
      <w:kern w:val="2"/>
      <w:sz w:val="18"/>
      <w:szCs w:val="18"/>
    </w:rPr>
  </w:style>
  <w:style w:type="character" w:customStyle="1" w:styleId="Char">
    <w:name w:val="页脚 Char"/>
    <w:basedOn w:val="a1"/>
    <w:link w:val="a4"/>
    <w:qFormat/>
    <w:rsid w:val="00BC27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765</Words>
  <Characters>4366</Characters>
  <Application>Microsoft Office Word</Application>
  <DocSecurity>0</DocSecurity>
  <Lines>36</Lines>
  <Paragraphs>10</Paragraphs>
  <ScaleCrop>false</ScaleCrop>
  <Company>微软中国</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姗小禾</dc:creator>
  <cp:lastModifiedBy>Administrator</cp:lastModifiedBy>
  <cp:revision>8</cp:revision>
  <dcterms:created xsi:type="dcterms:W3CDTF">2021-06-21T07:46:00Z</dcterms:created>
  <dcterms:modified xsi:type="dcterms:W3CDTF">2021-06-25T09:42:00Z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AF0C5FFA9F2F433C8DAE7DFFACD79E4A</vt:lpwstr>
  </property>
</Properties>
</file>