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2021年政府预算转移支付情况说明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全市2021年中央和省返还性收入及转移支付收入预算合计2326138万元，其中：返还性收入85103万元，一般性转移支付收入1420948万元，专项转移支付收入820087万元。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市本级2021</w:t>
      </w:r>
      <w:r>
        <w:rPr>
          <w:rFonts w:ascii="Times New Roman" w:hAnsi="Times New Roman" w:eastAsia="仿宋_GB2312" w:cs="Times New Roman"/>
          <w:sz w:val="32"/>
          <w:szCs w:val="32"/>
        </w:rPr>
        <w:t>年中央和省返还性收入及转移支付收入预算合计136568万元，其中：返还性收入16371万元，一般性转移支付收入98316万元，专项转移支付收入21881万元。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根据《中共益阳市委 益阳市人民政府关于调整优化市与资阳区、赫山区、高新区财政体制的通知》（益发[2020]7号）文件，从2021年开始，实行新的市与区财政体制，建立了规范的分税制财政体制以及市对区的转移支付制度。</w:t>
      </w:r>
      <w:r>
        <w:rPr>
          <w:rFonts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市对区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体制补助预算71074万元，市对区</w:t>
      </w:r>
      <w:r>
        <w:rPr>
          <w:rFonts w:ascii="Times New Roman" w:hAnsi="Times New Roman" w:eastAsia="仿宋_GB2312" w:cs="Times New Roman"/>
          <w:sz w:val="32"/>
          <w:szCs w:val="32"/>
        </w:rPr>
        <w:t>一般性转移支付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</w:t>
      </w:r>
      <w:r>
        <w:rPr>
          <w:rFonts w:ascii="Times New Roman" w:hAnsi="Times New Roman" w:eastAsia="仿宋_GB2312" w:cs="Times New Roman"/>
          <w:sz w:val="32"/>
          <w:szCs w:val="32"/>
        </w:rPr>
        <w:t>1000万元，市对区激励性转移支付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</w:t>
      </w:r>
      <w:r>
        <w:rPr>
          <w:rFonts w:ascii="Times New Roman" w:hAnsi="Times New Roman" w:eastAsia="仿宋_GB2312" w:cs="Times New Roman"/>
          <w:sz w:val="32"/>
          <w:szCs w:val="32"/>
        </w:rPr>
        <w:t>1372万元，市对区县专项转移支付预算43470万元。市本级政府性基金市对区转移支付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</w:t>
      </w:r>
      <w:r>
        <w:rPr>
          <w:rFonts w:ascii="Times New Roman" w:hAnsi="Times New Roman" w:eastAsia="仿宋_GB2312" w:cs="Times New Roman"/>
          <w:sz w:val="32"/>
          <w:szCs w:val="32"/>
        </w:rPr>
        <w:t>359817万元。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市本级202</w:t>
      </w:r>
      <w:r>
        <w:rPr>
          <w:rFonts w:hint="eastAsia" w:ascii="Times New Roman" w:hAnsi="Times New Roman" w:eastAsia="黑体" w:cs="Times New Roman"/>
          <w:sz w:val="36"/>
          <w:szCs w:val="36"/>
        </w:rPr>
        <w:t>1</w:t>
      </w:r>
      <w:r>
        <w:rPr>
          <w:rFonts w:ascii="Times New Roman" w:hAnsi="Times New Roman" w:eastAsia="黑体" w:cs="Times New Roman"/>
          <w:sz w:val="36"/>
          <w:szCs w:val="36"/>
        </w:rPr>
        <w:t>年政府预算举借债务情况说明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2020年，省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转贷</w:t>
      </w:r>
      <w:r>
        <w:rPr>
          <w:rFonts w:ascii="Times New Roman" w:hAnsi="Times New Roman" w:eastAsia="仿宋_GB2312" w:cs="Times New Roman"/>
          <w:sz w:val="32"/>
          <w:szCs w:val="32"/>
        </w:rPr>
        <w:t>市本级新增债券额度27.9亿元，按上级要求，新增债券资金要与年初预算打通盘活，统筹安排。市本级预算调整安排新增债券资金27.9亿元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，其中：市本级留用11.5亿元，转贷高新区14.2亿元，转贷大通湖区2.2亿元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至2020年末，市本级地方政府债务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一般债券限额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45.01亿元，专项债券限额62.43亿元；一般债券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44.62亿元，专项债券余额62.43亿元。</w:t>
      </w:r>
      <w:r>
        <w:rPr>
          <w:rFonts w:ascii="Times New Roman" w:hAnsi="Times New Roman" w:eastAsia="仿宋_GB2312" w:cs="Times New Roman"/>
          <w:sz w:val="32"/>
          <w:szCs w:val="32"/>
        </w:rPr>
        <w:t>据快报数，全年债务还本付息支出3.6亿元（偿还本金49万元，利息支出35910万元）。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年市本级预算中，提前安排2021年预计新增地方政府新增债券3.04亿元，主要用于市本级重大公益性资本支出。202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年一般公共预算安排新增政府债券还本付息支出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16595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>，利息支出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16595</w:t>
      </w:r>
      <w:r>
        <w:rPr>
          <w:rFonts w:ascii="Times New Roman" w:hAnsi="Times New Roman" w:eastAsia="仿宋_GB2312" w:cs="Times New Roman"/>
          <w:sz w:val="32"/>
          <w:szCs w:val="32"/>
        </w:rPr>
        <w:t>元。纳入政府性基金预算的还本付息支出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13727</w:t>
      </w:r>
      <w:r>
        <w:rPr>
          <w:rFonts w:ascii="Times New Roman" w:hAnsi="Times New Roman" w:eastAsia="仿宋_GB2312" w:cs="Times New Roman"/>
          <w:sz w:val="32"/>
          <w:szCs w:val="32"/>
        </w:rPr>
        <w:t>万元，其中利息支出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13727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市本级2021年“三公”经费预算说明</w:t>
      </w: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经市财政局汇总，益阳市本级部门，包括市级行政单位、事业单位和其他单位安排的2021年“三公”经费预算为4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686</w:t>
      </w:r>
      <w:r>
        <w:rPr>
          <w:rFonts w:ascii="Times New Roman" w:hAnsi="Times New Roman" w:eastAsia="仿宋" w:cs="Times New Roman"/>
          <w:sz w:val="32"/>
          <w:szCs w:val="32"/>
        </w:rPr>
        <w:t>万元，较2020年“三公”经费预算下降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10.87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%。其中：公务接待费1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921</w:t>
      </w:r>
      <w:r>
        <w:rPr>
          <w:rFonts w:ascii="Times New Roman" w:hAnsi="Times New Roman" w:eastAsia="仿宋" w:cs="Times New Roman"/>
          <w:sz w:val="32"/>
          <w:szCs w:val="32"/>
        </w:rPr>
        <w:t>万元，较2020年下降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%，因公出国(境)费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304</w:t>
      </w:r>
      <w:r>
        <w:rPr>
          <w:rFonts w:ascii="Times New Roman" w:hAnsi="Times New Roman" w:eastAsia="仿宋" w:cs="Times New Roman"/>
          <w:sz w:val="32"/>
          <w:szCs w:val="32"/>
        </w:rPr>
        <w:t>万元，较2020年下降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52</w:t>
      </w:r>
      <w:r>
        <w:rPr>
          <w:rFonts w:ascii="Times New Roman" w:hAnsi="Times New Roman" w:eastAsia="仿宋" w:cs="Times New Roman"/>
          <w:sz w:val="32"/>
          <w:szCs w:val="32"/>
        </w:rPr>
        <w:t>%，公务用车运行维护费2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381</w:t>
      </w:r>
      <w:r>
        <w:rPr>
          <w:rFonts w:ascii="Times New Roman" w:hAnsi="Times New Roman" w:eastAsia="仿宋" w:cs="Times New Roman"/>
          <w:sz w:val="32"/>
          <w:szCs w:val="32"/>
        </w:rPr>
        <w:t>万元，较2020年下降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10.25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公务用车购置费</w:t>
      </w:r>
      <w:r>
        <w:rPr>
          <w:rFonts w:hint="eastAsia" w:ascii="Times New Roman" w:hAnsi="Times New Roman" w:eastAsia="仿宋" w:cs="Times New Roman"/>
          <w:sz w:val="32"/>
          <w:szCs w:val="32"/>
        </w:rPr>
        <w:t>80</w:t>
      </w:r>
      <w:r>
        <w:rPr>
          <w:rFonts w:ascii="Times New Roman" w:hAnsi="Times New Roman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（纳入重点项目预算管理，未在基本支出中反映）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2021年，我市市本级“三公”经费支出较2020年明显下降，主要原因有以下三个方面：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一是严把预算关，实行源头控制，严格执行中央八项规定，按照精打细算、勤俭节约的原则，坚持过“紧日子”思想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对“三公经费”进行压缩，按照能压就压，能减就减的原则控制一般性支出。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二是严把支出关，实现动态管理，充分发挥国库集中支付平台，规范三公经费的支出核算。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三是注重宣传，提高贯彻落实自觉性，在日常财政监督监管中注重对预算单位的业务辅导和政策宣传，将“三公经费”管理作为各单位的重要工作来抓，明确职责完善制度。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YWY5Y2MxYTI0MDdjMDcyMGU4OTY0YzhiZGZhYzcifQ=="/>
  </w:docVars>
  <w:rsids>
    <w:rsidRoot w:val="003F5280"/>
    <w:rsid w:val="000C098E"/>
    <w:rsid w:val="000D3624"/>
    <w:rsid w:val="000E1CBC"/>
    <w:rsid w:val="00122205"/>
    <w:rsid w:val="001916EF"/>
    <w:rsid w:val="0019175A"/>
    <w:rsid w:val="001D5E35"/>
    <w:rsid w:val="001E3AA1"/>
    <w:rsid w:val="00302B6D"/>
    <w:rsid w:val="00322038"/>
    <w:rsid w:val="00331D80"/>
    <w:rsid w:val="00347778"/>
    <w:rsid w:val="00397185"/>
    <w:rsid w:val="003D606F"/>
    <w:rsid w:val="003F5280"/>
    <w:rsid w:val="00423CDB"/>
    <w:rsid w:val="00442F15"/>
    <w:rsid w:val="00515D3A"/>
    <w:rsid w:val="005461AD"/>
    <w:rsid w:val="0057568B"/>
    <w:rsid w:val="005C2463"/>
    <w:rsid w:val="00624BAB"/>
    <w:rsid w:val="006618C7"/>
    <w:rsid w:val="006F656E"/>
    <w:rsid w:val="00882C79"/>
    <w:rsid w:val="008A35E5"/>
    <w:rsid w:val="00947B4A"/>
    <w:rsid w:val="009856FB"/>
    <w:rsid w:val="009D6C52"/>
    <w:rsid w:val="009F20F6"/>
    <w:rsid w:val="00A111CE"/>
    <w:rsid w:val="00A1768C"/>
    <w:rsid w:val="00A64D09"/>
    <w:rsid w:val="00A82C07"/>
    <w:rsid w:val="00AD4028"/>
    <w:rsid w:val="00B1332E"/>
    <w:rsid w:val="00B61DDF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33125"/>
    <w:rsid w:val="00E53C9B"/>
    <w:rsid w:val="00E57814"/>
    <w:rsid w:val="00E616A8"/>
    <w:rsid w:val="00EC3904"/>
    <w:rsid w:val="00ED05A2"/>
    <w:rsid w:val="00EF69AA"/>
    <w:rsid w:val="00F212DE"/>
    <w:rsid w:val="00F43071"/>
    <w:rsid w:val="00F512C1"/>
    <w:rsid w:val="00FC6D1D"/>
    <w:rsid w:val="017F5000"/>
    <w:rsid w:val="026D3E05"/>
    <w:rsid w:val="046C41BA"/>
    <w:rsid w:val="04E8539D"/>
    <w:rsid w:val="05B4076A"/>
    <w:rsid w:val="078A59E7"/>
    <w:rsid w:val="0AD909D9"/>
    <w:rsid w:val="0BD02CDA"/>
    <w:rsid w:val="0EB23E02"/>
    <w:rsid w:val="0FA95523"/>
    <w:rsid w:val="14EB7761"/>
    <w:rsid w:val="1621475C"/>
    <w:rsid w:val="177E62B3"/>
    <w:rsid w:val="19881641"/>
    <w:rsid w:val="1E237E7E"/>
    <w:rsid w:val="20477FF0"/>
    <w:rsid w:val="22AD43D0"/>
    <w:rsid w:val="28DC3FEE"/>
    <w:rsid w:val="2EE872E8"/>
    <w:rsid w:val="2FA742B5"/>
    <w:rsid w:val="319C0AED"/>
    <w:rsid w:val="354E76A2"/>
    <w:rsid w:val="392FD182"/>
    <w:rsid w:val="39463B7A"/>
    <w:rsid w:val="3FDC1ED0"/>
    <w:rsid w:val="43D019CF"/>
    <w:rsid w:val="44BF5728"/>
    <w:rsid w:val="44D5127D"/>
    <w:rsid w:val="45D7349F"/>
    <w:rsid w:val="462875A5"/>
    <w:rsid w:val="4762444B"/>
    <w:rsid w:val="49DBA6D3"/>
    <w:rsid w:val="4C391759"/>
    <w:rsid w:val="4CC82987"/>
    <w:rsid w:val="5074340D"/>
    <w:rsid w:val="55EA369D"/>
    <w:rsid w:val="582467B0"/>
    <w:rsid w:val="583B1B4B"/>
    <w:rsid w:val="5A114FB2"/>
    <w:rsid w:val="5F906972"/>
    <w:rsid w:val="68EB12FB"/>
    <w:rsid w:val="6ED9A286"/>
    <w:rsid w:val="6F7FB708"/>
    <w:rsid w:val="73E1527D"/>
    <w:rsid w:val="74AE1104"/>
    <w:rsid w:val="78351FE9"/>
    <w:rsid w:val="78E95F11"/>
    <w:rsid w:val="7B13027A"/>
    <w:rsid w:val="A7F6C346"/>
    <w:rsid w:val="FFC7C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1080</Words>
  <Characters>1288</Characters>
  <Lines>28</Lines>
  <Paragraphs>10</Paragraphs>
  <TotalTime>5</TotalTime>
  <ScaleCrop>false</ScaleCrop>
  <LinksUpToDate>false</LinksUpToDate>
  <CharactersWithSpaces>1292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2019-01-23T03:27:00Z</dcterms:created>
  <dc:creator>郑周</dc:creator>
  <cp:lastModifiedBy>木先生</cp:lastModifiedBy>
  <cp:lastPrinted>2021-01-30T04:38:00Z</cp:lastPrinted>
  <dcterms:modified xsi:type="dcterms:W3CDTF">2022-09-08T02:25:14Z</dcterms:modified>
  <dc:title>2018年预算草案中转移支付情况说明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BC8A2FA86C6240A2937A68FE1D2C673D</vt:lpwstr>
  </property>
</Properties>
</file>