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360" w:lineRule="auto"/>
        <w:jc w:val="center"/>
        <w:outlineLvl w:val="0"/>
        <w:rPr>
          <w:rFonts w:hint="eastAsia" w:hAnsi="宋体" w:eastAsia="宋体" w:cs="宋体"/>
          <w:b/>
          <w:bCs/>
          <w:iCs/>
          <w:lang w:eastAsia="zh-CN"/>
        </w:rPr>
      </w:pPr>
      <w:r>
        <w:rPr>
          <w:rFonts w:hint="eastAsia" w:hAnsi="宋体" w:cs="宋体"/>
          <w:b/>
          <w:bCs/>
          <w:sz w:val="32"/>
          <w:szCs w:val="32"/>
        </w:rPr>
        <w:t>南县政策性农业保险承保机构</w:t>
      </w:r>
      <w:bookmarkStart w:id="0" w:name="_GoBack"/>
      <w:bookmarkEnd w:id="0"/>
      <w:r>
        <w:rPr>
          <w:rFonts w:hint="eastAsia" w:hAnsi="宋体" w:cs="宋体"/>
          <w:b/>
          <w:bCs/>
          <w:sz w:val="32"/>
          <w:szCs w:val="32"/>
        </w:rPr>
        <w:t>公开竞争性遴选</w:t>
      </w:r>
      <w:r>
        <w:rPr>
          <w:rFonts w:hint="eastAsia" w:hAnsi="宋体" w:cs="宋体"/>
          <w:b/>
          <w:bCs/>
          <w:sz w:val="32"/>
          <w:szCs w:val="32"/>
          <w:lang w:val="en-US" w:eastAsia="zh-CN"/>
        </w:rPr>
        <w:t>公告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湖南广源工程咨询有限公司受益阳市财政局、益阳市农业农村局的委托，根据《关于加快农业保险高质量发展的指导意见》《湖南省财政厅湖南省农业农村厅关于印发&lt;公开竞争性遴选政策性农业保险承保机构实施办法&gt;的通知》等有关文件规定，对南县政策性农业保险承保机构进行公开竞争性遴选，现邀请合格申请人参加遴选。</w:t>
      </w:r>
    </w:p>
    <w:p>
      <w:pPr>
        <w:adjustRightInd w:val="0"/>
        <w:snapToGrid w:val="0"/>
        <w:spacing w:line="360" w:lineRule="auto"/>
        <w:rPr>
          <w:rFonts w:ascii="宋体" w:hAnsi="宋体" w:cs="宋体"/>
          <w:b/>
          <w:szCs w:val="21"/>
        </w:rPr>
      </w:pPr>
      <w:r>
        <w:rPr>
          <w:rFonts w:hint="eastAsia" w:ascii="宋体" w:hAnsi="宋体" w:cs="宋体"/>
          <w:b/>
          <w:szCs w:val="21"/>
        </w:rPr>
        <w:t>一、遴选主要内容</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根据湘财金〔2022〕64号、益财金〔2022〕399号文件精神，结合南县政策性农业保险工作实际，拟公开竞争性遴选的承保机构数量为3家，并设置5个包，设置明细如下：</w:t>
      </w:r>
    </w:p>
    <w:p>
      <w:pPr>
        <w:pStyle w:val="2"/>
        <w:jc w:val="right"/>
        <w:rPr>
          <w:rFonts w:hint="eastAsia" w:eastAsia="宋体"/>
          <w:lang w:eastAsia="zh-CN"/>
        </w:rPr>
      </w:pPr>
      <w:r>
        <w:rPr>
          <w:rFonts w:hint="eastAsia" w:ascii="宋体" w:hAnsi="宋体" w:cs="宋体"/>
          <w:szCs w:val="21"/>
          <w:lang w:val="en-US" w:eastAsia="zh-CN"/>
        </w:rPr>
        <w:t>数量单位：亩、头，保费单位：元</w:t>
      </w:r>
    </w:p>
    <w:tbl>
      <w:tblPr>
        <w:tblStyle w:val="7"/>
        <w:tblpPr w:leftFromText="180" w:rightFromText="180" w:vertAnchor="text" w:horzAnchor="page" w:tblpXSpec="center" w:tblpY="293"/>
        <w:tblOverlap w:val="never"/>
        <w:tblW w:w="94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230"/>
        <w:gridCol w:w="828"/>
        <w:gridCol w:w="846"/>
        <w:gridCol w:w="688"/>
        <w:gridCol w:w="1128"/>
        <w:gridCol w:w="980"/>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jc w:val="center"/>
        </w:trPr>
        <w:tc>
          <w:tcPr>
            <w:tcW w:w="709"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遴选包</w:t>
            </w: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农业保险</w:t>
            </w:r>
          </w:p>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险种</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保险</w:t>
            </w:r>
          </w:p>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层级</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投保     数量</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单位  保费</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kern w:val="0"/>
                <w:sz w:val="20"/>
                <w:szCs w:val="20"/>
              </w:rPr>
            </w:pPr>
            <w:r>
              <w:rPr>
                <w:rFonts w:hint="eastAsia" w:ascii="宋体" w:hAnsi="宋体" w:cs="宋体"/>
                <w:bCs/>
                <w:color w:val="000000"/>
                <w:kern w:val="0"/>
                <w:sz w:val="20"/>
                <w:szCs w:val="20"/>
              </w:rPr>
              <w:t>保费</w:t>
            </w:r>
          </w:p>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金额</w:t>
            </w:r>
          </w:p>
        </w:tc>
        <w:tc>
          <w:tcPr>
            <w:tcW w:w="98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遴选规模</w:t>
            </w:r>
          </w:p>
        </w:tc>
        <w:tc>
          <w:tcPr>
            <w:tcW w:w="3007"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rPr>
              <w:t>备注（行政区划）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709"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1包</w:t>
            </w: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水稻完全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成本</w:t>
            </w:r>
          </w:p>
          <w:p>
            <w:pPr>
              <w:widowControl/>
              <w:jc w:val="center"/>
              <w:textAlignment w:val="center"/>
              <w:rPr>
                <w:rFonts w:ascii="宋体" w:hAnsi="宋体" w:cs="宋体"/>
                <w:color w:val="000000"/>
                <w:szCs w:val="21"/>
              </w:rPr>
            </w:pPr>
            <w:r>
              <w:rPr>
                <w:rFonts w:hint="eastAsia" w:ascii="宋体" w:hAnsi="宋体" w:cs="宋体"/>
                <w:color w:val="000000"/>
                <w:kern w:val="0"/>
                <w:szCs w:val="21"/>
              </w:rPr>
              <w:t>（大户）</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285900</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44</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12579600</w:t>
            </w:r>
          </w:p>
        </w:tc>
        <w:tc>
          <w:tcPr>
            <w:tcW w:w="980"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25510485</w:t>
            </w:r>
          </w:p>
        </w:tc>
        <w:tc>
          <w:tcPr>
            <w:tcW w:w="3007" w:type="dxa"/>
            <w:vMerge w:val="restart"/>
            <w:tcBorders>
              <w:tl2br w:val="nil"/>
              <w:tr2bl w:val="nil"/>
            </w:tcBorders>
            <w:noWrap/>
            <w:tcMar>
              <w:top w:w="15" w:type="dxa"/>
              <w:left w:w="15" w:type="dxa"/>
              <w:right w:w="15" w:type="dxa"/>
            </w:tcMar>
            <w:vAlign w:val="center"/>
          </w:tcPr>
          <w:p>
            <w:pPr>
              <w:rPr>
                <w:rFonts w:ascii="宋体" w:hAnsi="宋体" w:cs="宋体"/>
                <w:color w:val="000000"/>
                <w:szCs w:val="21"/>
              </w:rPr>
            </w:pPr>
            <w:r>
              <w:rPr>
                <w:rFonts w:hint="eastAsia" w:ascii="宋体" w:hAnsi="宋体" w:cs="宋体"/>
                <w:color w:val="000000"/>
                <w:szCs w:val="21"/>
              </w:rPr>
              <w:t>华阁镇、浪拔湖镇、麻河口镇、明山头镇、南洲镇、青树嘴镇、三仙湖镇、乌嘴乡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70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水稻完全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成本</w:t>
            </w:r>
          </w:p>
          <w:p>
            <w:pPr>
              <w:widowControl/>
              <w:jc w:val="center"/>
              <w:textAlignment w:val="center"/>
              <w:rPr>
                <w:rFonts w:ascii="宋体" w:hAnsi="宋体" w:cs="宋体"/>
                <w:color w:val="000000"/>
                <w:szCs w:val="21"/>
              </w:rPr>
            </w:pPr>
            <w:r>
              <w:rPr>
                <w:rFonts w:hint="eastAsia" w:ascii="宋体" w:hAnsi="宋体" w:cs="宋体"/>
                <w:color w:val="000000"/>
                <w:kern w:val="0"/>
                <w:szCs w:val="21"/>
              </w:rPr>
              <w:t>（散户）</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273000</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36</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9828000</w:t>
            </w:r>
          </w:p>
        </w:tc>
        <w:tc>
          <w:tcPr>
            <w:tcW w:w="980"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c>
          <w:tcPr>
            <w:tcW w:w="3007"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jc w:val="center"/>
        </w:trPr>
        <w:tc>
          <w:tcPr>
            <w:tcW w:w="70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油 菜</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344765</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3102885</w:t>
            </w:r>
          </w:p>
        </w:tc>
        <w:tc>
          <w:tcPr>
            <w:tcW w:w="980"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c>
          <w:tcPr>
            <w:tcW w:w="3007" w:type="dxa"/>
            <w:vMerge w:val="continue"/>
            <w:tcBorders>
              <w:tl2br w:val="nil"/>
              <w:tr2bl w:val="nil"/>
            </w:tcBorders>
            <w:noWrap/>
            <w:tcMar>
              <w:top w:w="15" w:type="dxa"/>
              <w:left w:w="15" w:type="dxa"/>
              <w:right w:w="15" w:type="dxa"/>
            </w:tcMar>
            <w:vAlign w:val="center"/>
          </w:tcPr>
          <w:p>
            <w:pP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709"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2包</w:t>
            </w: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能繁母猪</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19094</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1718460</w:t>
            </w:r>
          </w:p>
        </w:tc>
        <w:tc>
          <w:tcPr>
            <w:tcW w:w="980"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8894060</w:t>
            </w:r>
          </w:p>
        </w:tc>
        <w:tc>
          <w:tcPr>
            <w:tcW w:w="3007" w:type="dxa"/>
            <w:vMerge w:val="restart"/>
            <w:tcBorders>
              <w:tl2br w:val="nil"/>
              <w:tr2bl w:val="nil"/>
            </w:tcBorders>
            <w:noWrap/>
            <w:tcMar>
              <w:top w:w="15" w:type="dxa"/>
              <w:left w:w="15" w:type="dxa"/>
              <w:right w:w="15" w:type="dxa"/>
            </w:tcMar>
            <w:vAlign w:val="center"/>
          </w:tcPr>
          <w:p>
            <w:pPr>
              <w:rPr>
                <w:rFonts w:ascii="宋体" w:hAnsi="宋体" w:cs="宋体"/>
                <w:color w:val="000000"/>
                <w:szCs w:val="21"/>
              </w:rPr>
            </w:pPr>
            <w:r>
              <w:rPr>
                <w:rFonts w:hint="eastAsia" w:ascii="宋体" w:hAnsi="宋体" w:cs="宋体"/>
                <w:color w:val="000000"/>
                <w:szCs w:val="21"/>
              </w:rPr>
              <w:t>华阁镇、浪拨湖镇、麻河口镇、明山头镇、乌嘴乡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jc w:val="center"/>
        </w:trPr>
        <w:tc>
          <w:tcPr>
            <w:tcW w:w="70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育肥猪</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179390</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7175600</w:t>
            </w:r>
          </w:p>
        </w:tc>
        <w:tc>
          <w:tcPr>
            <w:tcW w:w="980"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c>
          <w:tcPr>
            <w:tcW w:w="3007" w:type="dxa"/>
            <w:vMerge w:val="continue"/>
            <w:tcBorders>
              <w:tl2br w:val="nil"/>
              <w:tr2bl w:val="nil"/>
            </w:tcBorders>
            <w:noWrap/>
            <w:tcMar>
              <w:top w:w="15" w:type="dxa"/>
              <w:left w:w="15" w:type="dxa"/>
              <w:right w:w="15" w:type="dxa"/>
            </w:tcMar>
            <w:vAlign w:val="center"/>
          </w:tcPr>
          <w:p>
            <w:pP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709"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3包</w:t>
            </w: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水稻完全成本（大户）</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131100</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5768400</w:t>
            </w:r>
          </w:p>
        </w:tc>
        <w:tc>
          <w:tcPr>
            <w:tcW w:w="980"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11296515</w:t>
            </w:r>
          </w:p>
        </w:tc>
        <w:tc>
          <w:tcPr>
            <w:tcW w:w="3007" w:type="dxa"/>
            <w:vMerge w:val="restart"/>
            <w:tcBorders>
              <w:tl2br w:val="nil"/>
              <w:tr2bl w:val="nil"/>
            </w:tcBorders>
            <w:noWrap/>
            <w:tcMar>
              <w:top w:w="15" w:type="dxa"/>
              <w:left w:w="15" w:type="dxa"/>
              <w:right w:w="15" w:type="dxa"/>
            </w:tcMar>
            <w:vAlign w:val="center"/>
          </w:tcPr>
          <w:p>
            <w:pPr>
              <w:rPr>
                <w:rFonts w:ascii="宋体" w:hAnsi="宋体" w:cs="宋体"/>
                <w:color w:val="000000"/>
                <w:szCs w:val="21"/>
              </w:rPr>
            </w:pPr>
            <w:r>
              <w:rPr>
                <w:rFonts w:hint="eastAsia" w:ascii="宋体" w:hAnsi="宋体" w:cs="宋体"/>
                <w:color w:val="000000"/>
                <w:szCs w:val="21"/>
              </w:rPr>
              <w:t>厂窖镇、茅草街镇、武圣宫镇、中鱼口镇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70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水稻完全成本（散户）</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117000</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36</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4212000</w:t>
            </w:r>
          </w:p>
        </w:tc>
        <w:tc>
          <w:tcPr>
            <w:tcW w:w="980"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c>
          <w:tcPr>
            <w:tcW w:w="3007"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709" w:type="dxa"/>
            <w:vMerge w:val="continue"/>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油 菜</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146235</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1316115</w:t>
            </w:r>
          </w:p>
        </w:tc>
        <w:tc>
          <w:tcPr>
            <w:tcW w:w="980" w:type="dxa"/>
            <w:vMerge w:val="continue"/>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3007" w:type="dxa"/>
            <w:vMerge w:val="continue"/>
            <w:tcBorders>
              <w:tl2br w:val="nil"/>
              <w:tr2bl w:val="nil"/>
            </w:tcBorders>
            <w:noWrap/>
            <w:tcMar>
              <w:top w:w="15" w:type="dxa"/>
              <w:left w:w="15" w:type="dxa"/>
              <w:right w:w="15" w:type="dxa"/>
            </w:tcMar>
            <w:vAlign w:val="center"/>
          </w:tcPr>
          <w:p>
            <w:pP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709"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4包</w:t>
            </w: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能繁母猪</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12906</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1161540</w:t>
            </w:r>
          </w:p>
        </w:tc>
        <w:tc>
          <w:tcPr>
            <w:tcW w:w="980"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8585940</w:t>
            </w:r>
          </w:p>
        </w:tc>
        <w:tc>
          <w:tcPr>
            <w:tcW w:w="3007" w:type="dxa"/>
            <w:vMerge w:val="restart"/>
            <w:tcBorders>
              <w:tl2br w:val="nil"/>
              <w:tr2bl w:val="nil"/>
            </w:tcBorders>
            <w:noWrap/>
            <w:tcMar>
              <w:top w:w="15" w:type="dxa"/>
              <w:left w:w="15" w:type="dxa"/>
              <w:right w:w="15" w:type="dxa"/>
            </w:tcMar>
            <w:vAlign w:val="center"/>
          </w:tcPr>
          <w:p>
            <w:pPr>
              <w:rPr>
                <w:rFonts w:ascii="宋体" w:hAnsi="宋体" w:cs="宋体"/>
                <w:color w:val="000000"/>
                <w:szCs w:val="21"/>
              </w:rPr>
            </w:pPr>
            <w:r>
              <w:rPr>
                <w:rFonts w:hint="eastAsia" w:ascii="宋体" w:hAnsi="宋体" w:cs="宋体"/>
                <w:color w:val="000000"/>
                <w:szCs w:val="21"/>
              </w:rPr>
              <w:t>厂窖镇、茅草街镇、武圣宫镇、中鱼口镇、三仙湖镇、南洲镇 、青树嘴镇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jc w:val="center"/>
        </w:trPr>
        <w:tc>
          <w:tcPr>
            <w:tcW w:w="70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育肥猪</w:t>
            </w:r>
          </w:p>
        </w:tc>
        <w:tc>
          <w:tcPr>
            <w:tcW w:w="8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w:t>
            </w:r>
          </w:p>
        </w:tc>
        <w:tc>
          <w:tcPr>
            <w:tcW w:w="846"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185610</w:t>
            </w:r>
          </w:p>
        </w:tc>
        <w:tc>
          <w:tcPr>
            <w:tcW w:w="68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7424400</w:t>
            </w:r>
          </w:p>
        </w:tc>
        <w:tc>
          <w:tcPr>
            <w:tcW w:w="980"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c>
          <w:tcPr>
            <w:tcW w:w="3007"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09" w:type="dxa"/>
            <w:tcBorders>
              <w:tl2br w:val="nil"/>
              <w:tr2bl w:val="nil"/>
            </w:tcBorders>
            <w:noWrap/>
            <w:tcMar>
              <w:top w:w="15" w:type="dxa"/>
              <w:left w:w="15" w:type="dxa"/>
              <w:right w:w="15"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5包</w:t>
            </w: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棉花</w:t>
            </w:r>
          </w:p>
        </w:tc>
        <w:tc>
          <w:tcPr>
            <w:tcW w:w="828" w:type="dxa"/>
            <w:tcBorders>
              <w:tl2br w:val="nil"/>
              <w:tr2bl w:val="nil"/>
            </w:tcBorders>
            <w:noWrap/>
            <w:tcMar>
              <w:top w:w="15" w:type="dxa"/>
              <w:left w:w="15" w:type="dxa"/>
              <w:right w:w="15" w:type="dxa"/>
            </w:tcMar>
            <w:vAlign w:val="center"/>
          </w:tcPr>
          <w:p>
            <w:pPr>
              <w:jc w:val="center"/>
              <w:rPr>
                <w:rFonts w:ascii="宋体" w:hAnsi="宋体" w:cs="宋体"/>
                <w:bCs/>
                <w:color w:val="000000"/>
                <w:szCs w:val="21"/>
              </w:rPr>
            </w:pPr>
            <w:r>
              <w:rPr>
                <w:rFonts w:hint="eastAsia" w:ascii="宋体" w:hAnsi="宋体" w:cs="宋体"/>
                <w:bCs/>
                <w:color w:val="000000"/>
                <w:kern w:val="0"/>
                <w:szCs w:val="21"/>
              </w:rPr>
              <w:t>中央</w:t>
            </w:r>
          </w:p>
        </w:tc>
        <w:tc>
          <w:tcPr>
            <w:tcW w:w="846" w:type="dxa"/>
            <w:tcBorders>
              <w:tl2br w:val="nil"/>
              <w:tr2bl w:val="nil"/>
            </w:tcBorders>
            <w:noWrap/>
            <w:tcMar>
              <w:top w:w="15" w:type="dxa"/>
              <w:left w:w="15" w:type="dxa"/>
              <w:right w:w="15" w:type="dxa"/>
            </w:tcMar>
            <w:vAlign w:val="center"/>
          </w:tcPr>
          <w:p>
            <w:pPr>
              <w:jc w:val="center"/>
              <w:rPr>
                <w:rFonts w:ascii="宋体" w:hAnsi="宋体" w:cs="宋体"/>
                <w:bCs/>
                <w:color w:val="000000"/>
                <w:szCs w:val="21"/>
              </w:rPr>
            </w:pPr>
            <w:r>
              <w:rPr>
                <w:rFonts w:hint="eastAsia" w:ascii="宋体" w:hAnsi="宋体" w:cs="宋体"/>
                <w:bCs/>
                <w:color w:val="000000"/>
                <w:szCs w:val="21"/>
              </w:rPr>
              <w:t>49500</w:t>
            </w:r>
          </w:p>
        </w:tc>
        <w:tc>
          <w:tcPr>
            <w:tcW w:w="688" w:type="dxa"/>
            <w:tcBorders>
              <w:tl2br w:val="nil"/>
              <w:tr2bl w:val="nil"/>
            </w:tcBorders>
            <w:noWrap/>
            <w:tcMar>
              <w:top w:w="15" w:type="dxa"/>
              <w:left w:w="15" w:type="dxa"/>
              <w:right w:w="15" w:type="dxa"/>
            </w:tcMar>
            <w:vAlign w:val="center"/>
          </w:tcPr>
          <w:p>
            <w:pPr>
              <w:jc w:val="center"/>
              <w:rPr>
                <w:rFonts w:ascii="宋体" w:hAnsi="宋体" w:cs="宋体"/>
                <w:bCs/>
                <w:color w:val="000000"/>
                <w:szCs w:val="21"/>
              </w:rPr>
            </w:pPr>
            <w:r>
              <w:rPr>
                <w:rFonts w:hint="eastAsia" w:ascii="宋体" w:hAnsi="宋体" w:cs="宋体"/>
                <w:bCs/>
                <w:color w:val="000000"/>
                <w:szCs w:val="21"/>
              </w:rPr>
              <w:t>24</w:t>
            </w: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1188000</w:t>
            </w:r>
          </w:p>
        </w:tc>
        <w:tc>
          <w:tcPr>
            <w:tcW w:w="98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1188000</w:t>
            </w:r>
          </w:p>
        </w:tc>
        <w:tc>
          <w:tcPr>
            <w:tcW w:w="3007" w:type="dxa"/>
            <w:tcBorders>
              <w:tl2br w:val="nil"/>
              <w:tr2bl w:val="nil"/>
            </w:tcBorders>
            <w:noWrap/>
            <w:tcMar>
              <w:top w:w="15" w:type="dxa"/>
              <w:left w:w="15" w:type="dxa"/>
              <w:right w:w="15" w:type="dxa"/>
            </w:tcMar>
            <w:vAlign w:val="center"/>
          </w:tcPr>
          <w:p>
            <w:pPr>
              <w:jc w:val="left"/>
              <w:rPr>
                <w:rFonts w:ascii="宋体" w:hAnsi="宋体" w:cs="宋体"/>
                <w:bCs/>
                <w:color w:val="000000"/>
                <w:szCs w:val="21"/>
              </w:rPr>
            </w:pPr>
            <w:r>
              <w:rPr>
                <w:rFonts w:hint="eastAsia" w:ascii="宋体" w:hAnsi="宋体" w:cs="宋体"/>
                <w:bCs/>
                <w:color w:val="000000"/>
                <w:szCs w:val="21"/>
              </w:rPr>
              <w:t>全县仅限一家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709" w:type="dxa"/>
            <w:tcBorders>
              <w:tl2br w:val="nil"/>
              <w:tr2bl w:val="nil"/>
            </w:tcBorders>
            <w:noWrap/>
            <w:tcMar>
              <w:top w:w="15" w:type="dxa"/>
              <w:left w:w="15" w:type="dxa"/>
              <w:right w:w="15" w:type="dxa"/>
            </w:tcMar>
            <w:vAlign w:val="center"/>
          </w:tcPr>
          <w:p>
            <w:pPr>
              <w:jc w:val="center"/>
              <w:rPr>
                <w:rFonts w:ascii="宋体" w:hAnsi="宋体" w:cs="宋体"/>
                <w:bCs/>
                <w:color w:val="000000"/>
                <w:sz w:val="20"/>
                <w:szCs w:val="20"/>
              </w:rPr>
            </w:pPr>
          </w:p>
        </w:tc>
        <w:tc>
          <w:tcPr>
            <w:tcW w:w="123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合 计</w:t>
            </w:r>
          </w:p>
        </w:tc>
        <w:tc>
          <w:tcPr>
            <w:tcW w:w="828" w:type="dxa"/>
            <w:tcBorders>
              <w:tl2br w:val="nil"/>
              <w:tr2bl w:val="nil"/>
            </w:tcBorders>
            <w:noWrap/>
            <w:tcMar>
              <w:top w:w="15" w:type="dxa"/>
              <w:left w:w="15" w:type="dxa"/>
              <w:right w:w="15" w:type="dxa"/>
            </w:tcMar>
            <w:vAlign w:val="center"/>
          </w:tcPr>
          <w:p>
            <w:pPr>
              <w:jc w:val="center"/>
              <w:rPr>
                <w:rFonts w:ascii="宋体" w:hAnsi="宋体" w:cs="宋体"/>
                <w:bCs/>
                <w:color w:val="000000"/>
                <w:szCs w:val="21"/>
              </w:rPr>
            </w:pPr>
          </w:p>
        </w:tc>
        <w:tc>
          <w:tcPr>
            <w:tcW w:w="846" w:type="dxa"/>
            <w:tcBorders>
              <w:tl2br w:val="nil"/>
              <w:tr2bl w:val="nil"/>
            </w:tcBorders>
            <w:noWrap/>
            <w:tcMar>
              <w:top w:w="15" w:type="dxa"/>
              <w:left w:w="15" w:type="dxa"/>
              <w:right w:w="15" w:type="dxa"/>
            </w:tcMar>
            <w:vAlign w:val="center"/>
          </w:tcPr>
          <w:p>
            <w:pPr>
              <w:jc w:val="center"/>
              <w:rPr>
                <w:rFonts w:ascii="宋体" w:hAnsi="宋体" w:cs="宋体"/>
                <w:bCs/>
                <w:color w:val="000000"/>
                <w:szCs w:val="21"/>
              </w:rPr>
            </w:pPr>
            <w:r>
              <w:rPr>
                <w:rFonts w:hint="eastAsia" w:ascii="宋体" w:hAnsi="宋体" w:cs="宋体"/>
                <w:bCs/>
                <w:color w:val="000000"/>
                <w:szCs w:val="21"/>
              </w:rPr>
              <w:t>1744500</w:t>
            </w:r>
          </w:p>
        </w:tc>
        <w:tc>
          <w:tcPr>
            <w:tcW w:w="688" w:type="dxa"/>
            <w:tcBorders>
              <w:tl2br w:val="nil"/>
              <w:tr2bl w:val="nil"/>
            </w:tcBorders>
            <w:noWrap/>
            <w:tcMar>
              <w:top w:w="15" w:type="dxa"/>
              <w:left w:w="15" w:type="dxa"/>
              <w:right w:w="15" w:type="dxa"/>
            </w:tcMar>
            <w:vAlign w:val="center"/>
          </w:tcPr>
          <w:p>
            <w:pPr>
              <w:jc w:val="center"/>
              <w:rPr>
                <w:rFonts w:ascii="宋体" w:hAnsi="宋体" w:cs="宋体"/>
                <w:bCs/>
                <w:color w:val="000000"/>
                <w:szCs w:val="21"/>
              </w:rPr>
            </w:pPr>
          </w:p>
        </w:tc>
        <w:tc>
          <w:tcPr>
            <w:tcW w:w="1128"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55475000</w:t>
            </w:r>
          </w:p>
        </w:tc>
        <w:tc>
          <w:tcPr>
            <w:tcW w:w="980" w:type="dxa"/>
            <w:tcBorders>
              <w:tl2br w:val="nil"/>
              <w:tr2bl w:val="nil"/>
            </w:tcBorders>
            <w:noWrap/>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55475000</w:t>
            </w:r>
          </w:p>
        </w:tc>
        <w:tc>
          <w:tcPr>
            <w:tcW w:w="3007" w:type="dxa"/>
            <w:tcBorders>
              <w:tl2br w:val="nil"/>
              <w:tr2bl w:val="nil"/>
            </w:tcBorders>
            <w:noWrap/>
            <w:tcMar>
              <w:top w:w="15" w:type="dxa"/>
              <w:left w:w="15" w:type="dxa"/>
              <w:right w:w="15" w:type="dxa"/>
            </w:tcMar>
            <w:vAlign w:val="center"/>
          </w:tcPr>
          <w:p>
            <w:pPr>
              <w:jc w:val="left"/>
              <w:rPr>
                <w:rFonts w:ascii="宋体" w:hAnsi="宋体" w:cs="宋体"/>
                <w:bCs/>
                <w:color w:val="000000"/>
                <w:szCs w:val="21"/>
              </w:rPr>
            </w:pPr>
          </w:p>
        </w:tc>
      </w:tr>
    </w:tbl>
    <w:p>
      <w:pPr>
        <w:pStyle w:val="10"/>
        <w:rPr>
          <w:rFonts w:ascii="宋体" w:hAnsi="宋体" w:cs="宋体"/>
        </w:rPr>
      </w:pPr>
    </w:p>
    <w:p>
      <w:pPr>
        <w:adjustRightInd w:val="0"/>
        <w:snapToGrid w:val="0"/>
        <w:spacing w:line="360" w:lineRule="auto"/>
        <w:rPr>
          <w:rFonts w:ascii="宋体" w:hAnsi="宋体" w:cs="宋体"/>
          <w:szCs w:val="21"/>
        </w:rPr>
      </w:pPr>
      <w:r>
        <w:rPr>
          <w:rFonts w:hint="eastAsia" w:ascii="宋体" w:hAnsi="宋体" w:cs="宋体"/>
          <w:b/>
          <w:szCs w:val="21"/>
        </w:rPr>
        <w:t>二、申请人资格要求</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1、申请参加遴选的承保机构需满足以下基本条件。</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1.1、申请人的省级公司必须在湖南银保监局公布的符合农业保险业务经营条件的保险公司目录范围内。</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1.2、具有完善的农业保险大灾风险分散机制。</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1.3、具有完善的基层服务网络。</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1.4、信息化建设满足业务管理要求，能够按要求与中国农业再保险股份有限公司（以下简称中国农再）约定分保业务信息系统进行对接；能够按要求与湖南省农业保险综合管理平台系统对接。</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1.5、参加农业保险再保险体系改革试点，承保机构总公司已与中国农再签署当期有效的《政策性农业保险再保险标准协议》，双方可协商对有关条款进行调整。</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1.6、对于在财金〔2020〕128号文件印发后开业的承保机构,总公司开业时间需在5年以上（含），存在重组、更名或新设主体依法受让相关业务的，可以原主体开业时间为准。</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1.7、在南县具有经银保监部门批准设立的下属分支机构，持有省级分公司出具的针对本区域遴选的授权文件。</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1.8、财政部门规定的其他条件。</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2、存在以下情况的保险机构不得参加遴选。</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2.1、以联合体（共保体）形式或委托其他保险机构、中介机构代为办理的；</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2.2、以销售网点、“三农”保险服务网点等非市县级分支机构申请的，市级及以上分支机构申请省直管县市遴选的；</w:t>
      </w:r>
    </w:p>
    <w:p>
      <w:pPr>
        <w:adjustRightInd w:val="0"/>
        <w:snapToGrid w:val="0"/>
        <w:spacing w:line="360" w:lineRule="auto"/>
        <w:ind w:firstLine="420" w:firstLineChars="200"/>
        <w:rPr>
          <w:rFonts w:ascii="宋体" w:hAnsi="宋体" w:cs="宋体"/>
          <w:color w:val="FF0000"/>
          <w:szCs w:val="21"/>
        </w:rPr>
      </w:pPr>
      <w:r>
        <w:rPr>
          <w:rFonts w:hint="eastAsia" w:ascii="宋体" w:hAnsi="宋体" w:cs="宋体"/>
          <w:color w:val="FF0000"/>
          <w:szCs w:val="21"/>
        </w:rPr>
        <w:t>2.3、农业保险业务违法违规被财政部门或监管部门处罚且尚在处罚期的，以及因农业保险绩效评价取消财政补贴资格期内的。</w:t>
      </w:r>
    </w:p>
    <w:p>
      <w:pPr>
        <w:adjustRightInd w:val="0"/>
        <w:snapToGrid w:val="0"/>
        <w:spacing w:line="360" w:lineRule="auto"/>
        <w:rPr>
          <w:rFonts w:ascii="宋体" w:hAnsi="宋体" w:cs="宋体"/>
          <w:b/>
          <w:szCs w:val="21"/>
        </w:rPr>
      </w:pPr>
      <w:r>
        <w:rPr>
          <w:rFonts w:hint="eastAsia" w:ascii="宋体" w:hAnsi="宋体" w:cs="宋体"/>
          <w:b/>
          <w:szCs w:val="21"/>
        </w:rPr>
        <w:t>三、获取遴选文件的时间、期限、地点、方式</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1、凡符合资格要求并有意参加响应的申请人请于2023年1月9日至2023年1月13日，自行在益阳市公共资源交易中心网站注册，通过“湖南数字CA”登录益阳公共资源交易中心网站：（http://jyzx.yiyang.gov.cn/）下载遴选文件。</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未办理湖南CA数字证书的申请人需先办理湖南CA数字证书（须同时办理单位CA、法人或授权委托人CA。湖南CA数字证书咨询电话0737-4112269）。</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2、申请人质疑采用书面方式。遴选人对遴选文件的澄清答疑均采用在《益阳市公共资源交易中心》（http://jyzx.yiyang.gov.cn）发布，申请人自行下载，恕不另行通知，如有遗漏，遴选人概不负责。</w:t>
      </w:r>
    </w:p>
    <w:p>
      <w:pPr>
        <w:adjustRightInd w:val="0"/>
        <w:snapToGrid w:val="0"/>
        <w:spacing w:line="360" w:lineRule="auto"/>
        <w:rPr>
          <w:rFonts w:ascii="宋体" w:hAnsi="宋体" w:cs="宋体"/>
          <w:b/>
          <w:szCs w:val="21"/>
        </w:rPr>
      </w:pPr>
      <w:r>
        <w:rPr>
          <w:rFonts w:hint="eastAsia" w:ascii="宋体" w:hAnsi="宋体" w:cs="宋体"/>
          <w:b/>
          <w:szCs w:val="21"/>
        </w:rPr>
        <w:t>四、遴选响应截止时间、开标时间及地点</w:t>
      </w:r>
    </w:p>
    <w:p>
      <w:pPr>
        <w:adjustRightInd w:val="0"/>
        <w:snapToGrid w:val="0"/>
        <w:spacing w:line="500" w:lineRule="exact"/>
        <w:ind w:firstLine="420" w:firstLineChars="200"/>
        <w:rPr>
          <w:rFonts w:ascii="宋体" w:hAnsi="宋体" w:cs="宋体"/>
          <w:b/>
          <w:szCs w:val="21"/>
          <w:u w:val="single"/>
        </w:rPr>
      </w:pPr>
      <w:r>
        <w:rPr>
          <w:rFonts w:hint="eastAsia" w:ascii="宋体" w:hAnsi="宋体" w:cs="宋体"/>
          <w:szCs w:val="21"/>
        </w:rPr>
        <w:t>1、提交响应文件的截止时间：</w:t>
      </w:r>
      <w:r>
        <w:rPr>
          <w:rFonts w:hint="eastAsia" w:ascii="宋体" w:hAnsi="宋体" w:cs="宋体"/>
          <w:b/>
          <w:szCs w:val="21"/>
          <w:u w:val="single"/>
        </w:rPr>
        <w:t>2023年 1 月 14日10:00</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 xml:space="preserve">2、响应文件的制作：申请人在“益阳市公共资源交易中心网” </w:t>
      </w:r>
      <w:r>
        <w:rPr>
          <w:rFonts w:hint="eastAsia" w:ascii="宋体" w:hAnsi="宋体" w:cs="宋体"/>
          <w:kern w:val="0"/>
          <w:szCs w:val="21"/>
        </w:rPr>
        <w:t>（</w:t>
      </w:r>
      <w:r>
        <w:rPr>
          <w:rFonts w:hint="eastAsia" w:ascii="宋体" w:hAnsi="宋体" w:cs="宋体"/>
          <w:szCs w:val="21"/>
        </w:rPr>
        <w:t>http://jyzx.yiyang.gov.cn/）下载专区中及时下载安装最新版本“新点投标文件制作软件（湖南公共资源版）”。参与投标的申请人需使用电子标书编制软件制作“HNYYTF”格式响应文件。本项目电子响应文件最大容量为200MB，超过此容量的文件将被拒绝。制作电子响应文件时，申请人须编制响应文件的内容目录和详细页码，其制作软件的下载安装和电子投标文件的制件说明（含电子签章的操作流程）可详见“益阳市公共资源交易中心网” （http://jyzx.yiyang.gov.cn/ggzyjy/）的下载专区《政府采购申请人电子投标操作手册+视频》。（技术咨询联系方式：0737-4112086  QQ:2464741132。）</w:t>
      </w:r>
    </w:p>
    <w:p>
      <w:pPr>
        <w:adjustRightInd w:val="0"/>
        <w:snapToGrid w:val="0"/>
        <w:spacing w:line="500" w:lineRule="exact"/>
        <w:ind w:firstLine="420" w:firstLineChars="200"/>
        <w:rPr>
          <w:rFonts w:ascii="宋体" w:hAnsi="宋体" w:cs="宋体"/>
        </w:rPr>
      </w:pPr>
      <w:r>
        <w:rPr>
          <w:rFonts w:hint="eastAsia" w:ascii="宋体" w:hAnsi="宋体" w:cs="宋体"/>
          <w:szCs w:val="21"/>
        </w:rPr>
        <w:t>3、开标时间：</w:t>
      </w:r>
      <w:r>
        <w:rPr>
          <w:rFonts w:hint="eastAsia" w:ascii="宋体" w:hAnsi="宋体" w:cs="宋体"/>
          <w:b/>
          <w:szCs w:val="21"/>
          <w:u w:val="single"/>
        </w:rPr>
        <w:t xml:space="preserve">2023年1月14日10:00 </w:t>
      </w:r>
      <w:r>
        <w:rPr>
          <w:rFonts w:hint="eastAsia" w:ascii="宋体" w:hAnsi="宋体" w:cs="宋体"/>
          <w:b/>
          <w:szCs w:val="21"/>
        </w:rPr>
        <w:t xml:space="preserve"> ，</w:t>
      </w:r>
      <w:r>
        <w:rPr>
          <w:rFonts w:hint="eastAsia" w:ascii="宋体" w:hAnsi="宋体" w:cs="宋体"/>
          <w:szCs w:val="21"/>
        </w:rPr>
        <w:t>电子响应文件的解密截止时间为（首次响应文件递交截止时间后30 分钟）。请申请人使用生成响应文件的CA数字证书按时解密。响应文件在解密时限内未解密或解密失败，视为撤销其响应文件。在开标现场解密的，请申请人自备解密电脑和网络并携带湖南CA数字证书。其递交的电子响应文件具备法律效力，逾期递交的电子响应文件，电子交易平台将予以拒收。</w:t>
      </w:r>
    </w:p>
    <w:p>
      <w:pPr>
        <w:adjustRightInd w:val="0"/>
        <w:snapToGrid w:val="0"/>
        <w:spacing w:line="360" w:lineRule="auto"/>
        <w:rPr>
          <w:rFonts w:ascii="宋体" w:hAnsi="宋体" w:cs="宋体"/>
          <w:b/>
          <w:szCs w:val="21"/>
        </w:rPr>
      </w:pPr>
      <w:r>
        <w:rPr>
          <w:rFonts w:hint="eastAsia" w:ascii="宋体" w:hAnsi="宋体" w:cs="宋体"/>
          <w:b/>
          <w:szCs w:val="21"/>
        </w:rPr>
        <w:t>五、联系方式</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益阳市财政局</w:t>
      </w:r>
    </w:p>
    <w:p>
      <w:pPr>
        <w:spacing w:line="360" w:lineRule="auto"/>
        <w:ind w:firstLine="420" w:firstLineChars="200"/>
        <w:rPr>
          <w:rFonts w:ascii="宋体" w:hAnsi="宋体" w:cs="宋体"/>
          <w:szCs w:val="21"/>
        </w:rPr>
      </w:pPr>
      <w:r>
        <w:rPr>
          <w:rFonts w:hint="eastAsia" w:ascii="宋体" w:hAnsi="宋体" w:cs="宋体"/>
          <w:szCs w:val="21"/>
        </w:rPr>
        <w:t xml:space="preserve">联 系 人： 张先生 </w:t>
      </w:r>
    </w:p>
    <w:p>
      <w:pPr>
        <w:spacing w:line="360" w:lineRule="auto"/>
        <w:ind w:firstLine="407" w:firstLineChars="194"/>
        <w:rPr>
          <w:rFonts w:ascii="宋体" w:hAnsi="宋体" w:cs="宋体"/>
          <w:szCs w:val="21"/>
        </w:rPr>
      </w:pPr>
      <w:r>
        <w:rPr>
          <w:rFonts w:hint="eastAsia" w:ascii="宋体" w:hAnsi="宋体" w:cs="宋体"/>
          <w:szCs w:val="21"/>
        </w:rPr>
        <w:t>电   话： 0737-6102232</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益阳市农业农村局</w:t>
      </w:r>
    </w:p>
    <w:p>
      <w:pPr>
        <w:spacing w:line="360" w:lineRule="auto"/>
        <w:ind w:firstLine="420" w:firstLineChars="200"/>
        <w:rPr>
          <w:rFonts w:ascii="宋体" w:hAnsi="宋体" w:cs="宋体"/>
          <w:szCs w:val="21"/>
        </w:rPr>
      </w:pPr>
      <w:r>
        <w:rPr>
          <w:rFonts w:hint="eastAsia" w:ascii="宋体" w:hAnsi="宋体" w:cs="宋体"/>
          <w:szCs w:val="21"/>
        </w:rPr>
        <w:t xml:space="preserve">联 系 人： 高先生 </w:t>
      </w:r>
    </w:p>
    <w:p>
      <w:pPr>
        <w:spacing w:line="360" w:lineRule="auto"/>
        <w:ind w:firstLine="407" w:firstLineChars="194"/>
        <w:rPr>
          <w:rFonts w:ascii="宋体" w:hAnsi="宋体" w:cs="宋体"/>
          <w:szCs w:val="21"/>
        </w:rPr>
      </w:pPr>
      <w:r>
        <w:rPr>
          <w:rFonts w:hint="eastAsia" w:ascii="宋体" w:hAnsi="宋体" w:cs="宋体"/>
          <w:szCs w:val="21"/>
        </w:rPr>
        <w:t>电   话： 0737-4205968</w:t>
      </w:r>
    </w:p>
    <w:p>
      <w:pPr>
        <w:spacing w:line="360" w:lineRule="auto"/>
        <w:ind w:firstLine="420" w:firstLineChars="200"/>
        <w:rPr>
          <w:rFonts w:ascii="宋体" w:hAnsi="宋体" w:cs="宋体"/>
          <w:bCs/>
          <w:szCs w:val="21"/>
        </w:rPr>
      </w:pPr>
      <w:r>
        <w:rPr>
          <w:rFonts w:hint="eastAsia" w:ascii="宋体" w:hAnsi="宋体" w:cs="宋体"/>
          <w:bCs/>
          <w:szCs w:val="21"/>
        </w:rPr>
        <w:t>遴选代理机构：湖南广源工程咨询有限公司</w:t>
      </w:r>
    </w:p>
    <w:p>
      <w:pPr>
        <w:spacing w:line="360" w:lineRule="auto"/>
        <w:ind w:firstLine="420" w:firstLineChars="200"/>
        <w:rPr>
          <w:rFonts w:ascii="宋体" w:hAnsi="宋体" w:cs="宋体"/>
          <w:bCs/>
          <w:szCs w:val="21"/>
        </w:rPr>
      </w:pPr>
      <w:r>
        <w:rPr>
          <w:rFonts w:hint="eastAsia" w:ascii="宋体" w:hAnsi="宋体" w:cs="宋体"/>
          <w:bCs/>
          <w:szCs w:val="21"/>
        </w:rPr>
        <w:t>联系人：何先生   </w:t>
      </w:r>
    </w:p>
    <w:p>
      <w:pPr>
        <w:spacing w:line="360" w:lineRule="auto"/>
        <w:ind w:firstLine="420" w:firstLineChars="200"/>
        <w:rPr>
          <w:rFonts w:ascii="宋体" w:hAnsi="宋体" w:cs="宋体"/>
          <w:bCs/>
          <w:szCs w:val="21"/>
        </w:rPr>
      </w:pPr>
      <w:r>
        <w:rPr>
          <w:rFonts w:hint="eastAsia" w:ascii="宋体" w:hAnsi="宋体" w:cs="宋体"/>
          <w:bCs/>
          <w:szCs w:val="21"/>
        </w:rPr>
        <w:t>电话：13786780061</w:t>
      </w:r>
    </w:p>
    <w:p>
      <w:pPr>
        <w:ind w:firstLine="420" w:firstLineChars="200"/>
      </w:pPr>
      <w:r>
        <w:rPr>
          <w:rFonts w:hint="eastAsia" w:ascii="宋体" w:hAnsi="宋体" w:cs="宋体"/>
          <w:bCs/>
          <w:szCs w:val="21"/>
        </w:rPr>
        <w:t>地 址：</w:t>
      </w:r>
      <w:r>
        <w:rPr>
          <w:rFonts w:hint="eastAsia" w:ascii="宋体" w:hAnsi="宋体" w:cs="宋体"/>
          <w:color w:val="000000"/>
          <w:szCs w:val="21"/>
        </w:rPr>
        <w:t>益阳市梓山西路太古城B座十楼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BmMDZmMDg4MjgyNWFlMzA1NjkwNzE5MzE2YWMifQ=="/>
  </w:docVars>
  <w:rsids>
    <w:rsidRoot w:val="10177777"/>
    <w:rsid w:val="0067463C"/>
    <w:rsid w:val="0A810107"/>
    <w:rsid w:val="10177777"/>
    <w:rsid w:val="1E3D1349"/>
    <w:rsid w:val="240E3586"/>
    <w:rsid w:val="2995406F"/>
    <w:rsid w:val="34E25993"/>
    <w:rsid w:val="41F25DF7"/>
    <w:rsid w:val="4E3A26E5"/>
    <w:rsid w:val="64DE31A1"/>
    <w:rsid w:val="6F983C33"/>
    <w:rsid w:val="7148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100" w:beforeLines="0" w:beforeAutospacing="0" w:after="90" w:afterLines="0" w:afterAutospacing="0" w:line="576" w:lineRule="auto"/>
      <w:jc w:val="center"/>
      <w:outlineLvl w:val="0"/>
    </w:pPr>
    <w:rPr>
      <w:rFonts w:eastAsia="宋体" w:asciiTheme="minorAscii" w:hAnsiTheme="minorAscii"/>
      <w:b/>
      <w:kern w:val="44"/>
      <w:sz w:val="32"/>
      <w:szCs w:val="22"/>
    </w:rPr>
  </w:style>
  <w:style w:type="paragraph" w:styleId="4">
    <w:name w:val="heading 2"/>
    <w:basedOn w:val="1"/>
    <w:next w:val="1"/>
    <w:semiHidden/>
    <w:unhideWhenUsed/>
    <w:qFormat/>
    <w:uiPriority w:val="0"/>
    <w:pPr>
      <w:keepNext/>
      <w:keepLines/>
      <w:spacing w:before="120" w:after="120" w:line="360" w:lineRule="auto"/>
      <w:outlineLvl w:val="1"/>
    </w:pPr>
    <w:rPr>
      <w:rFonts w:ascii="Arial" w:hAnsi="Arial" w:eastAsia="宋体" w:cs="Times New Roman"/>
      <w:b/>
      <w:bCs/>
      <w:sz w:val="24"/>
      <w:szCs w:val="32"/>
    </w:rPr>
  </w:style>
  <w:style w:type="paragraph" w:styleId="5">
    <w:name w:val="heading 3"/>
    <w:basedOn w:val="1"/>
    <w:next w:val="1"/>
    <w:semiHidden/>
    <w:unhideWhenUsed/>
    <w:qFormat/>
    <w:uiPriority w:val="0"/>
    <w:pPr>
      <w:keepNext/>
      <w:keepLines/>
      <w:wordWrap w:val="0"/>
      <w:topLinePunct/>
      <w:spacing w:beforeLines="0" w:beforeAutospacing="0" w:afterLines="0" w:afterAutospacing="0" w:line="240" w:lineRule="auto"/>
      <w:jc w:val="center"/>
      <w:outlineLvl w:val="2"/>
    </w:pPr>
    <w:rPr>
      <w:rFonts w:ascii="宋体" w:hAnsi="宋体" w:eastAsia="宋体" w:cs="宋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next w:val="1"/>
    <w:qFormat/>
    <w:uiPriority w:val="0"/>
    <w:pPr>
      <w:adjustRightInd w:val="0"/>
      <w:snapToGrid w:val="0"/>
      <w:jc w:val="center"/>
    </w:pPr>
    <w:rPr>
      <w:rFonts w:ascii="Times New Roman" w:hAnsi="Times New Roman" w:eastAsia="宋体" w:cs="Times New Roman"/>
      <w:bCs/>
      <w:sz w:val="21"/>
      <w:lang w:val="en-US" w:eastAsia="zh-CN" w:bidi="ar-SA"/>
    </w:rPr>
  </w:style>
  <w:style w:type="paragraph" w:styleId="6">
    <w:name w:val="Plain Text"/>
    <w:basedOn w:val="1"/>
    <w:next w:val="1"/>
    <w:qFormat/>
    <w:uiPriority w:val="0"/>
    <w:rPr>
      <w:rFonts w:ascii="宋体" w:hAnsi="Courier New" w:cs="Courier New"/>
      <w:szCs w:val="21"/>
    </w:rPr>
  </w:style>
  <w:style w:type="character" w:customStyle="1" w:styleId="9">
    <w:name w:val="标题 1 Char"/>
    <w:link w:val="3"/>
    <w:qFormat/>
    <w:uiPriority w:val="0"/>
    <w:rPr>
      <w:rFonts w:eastAsia="宋体" w:asciiTheme="minorAscii" w:hAnsiTheme="minorAscii"/>
      <w:b/>
      <w:kern w:val="44"/>
      <w:sz w:val="32"/>
      <w:szCs w:val="22"/>
    </w:rPr>
  </w:style>
  <w:style w:type="paragraph" w:customStyle="1" w:styleId="10">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1923</Words>
  <Characters>2352</Characters>
  <Lines>0</Lines>
  <Paragraphs>0</Paragraphs>
  <TotalTime>1</TotalTime>
  <ScaleCrop>false</ScaleCrop>
  <LinksUpToDate>false</LinksUpToDate>
  <CharactersWithSpaces>2395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2023-01-07T06:36:00Z</dcterms:created>
  <dc:creator>米爸</dc:creator>
  <cp:lastModifiedBy>米爸</cp:lastModifiedBy>
  <dcterms:modified xsi:type="dcterms:W3CDTF">2023-01-07T07:34:42Z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BD2FA66D33924F048E814AE7E1CFC55D</vt:lpwstr>
  </property>
</Properties>
</file>