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0FED6">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14:paraId="4449E377">
      <w:pPr>
        <w:ind w:firstLine="3200"/>
        <w:rPr>
          <w:rFonts w:ascii="仿宋" w:hAnsi="仿宋" w:eastAsia="仿宋" w:cs="仿宋"/>
          <w:sz w:val="32"/>
        </w:rPr>
      </w:pPr>
    </w:p>
    <w:p w14:paraId="6EA0D17C">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益阳市公路管理局</w:t>
      </w:r>
      <w:r>
        <w:rPr>
          <w:rFonts w:ascii="黑体" w:hAnsi="黑体" w:eastAsia="黑体" w:cs="黑体"/>
          <w:sz w:val="32"/>
        </w:rPr>
        <w:t xml:space="preserve">概况 </w:t>
      </w:r>
    </w:p>
    <w:p w14:paraId="2FD90651">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14:paraId="0D4CF4B6">
      <w:pPr>
        <w:rPr>
          <w:rFonts w:ascii="楷体" w:hAnsi="楷体" w:eastAsia="楷体" w:cs="楷体"/>
          <w:sz w:val="32"/>
        </w:rPr>
      </w:pPr>
      <w:r>
        <w:rPr>
          <w:rFonts w:ascii="楷体" w:hAnsi="楷体" w:eastAsia="楷体" w:cs="楷体"/>
          <w:sz w:val="32"/>
        </w:rPr>
        <w:t>二、机构设置</w:t>
      </w:r>
    </w:p>
    <w:p w14:paraId="2EBACC63">
      <w:pPr>
        <w:rPr>
          <w:rFonts w:ascii="楷体" w:hAnsi="楷体" w:eastAsia="楷体" w:cs="楷体"/>
          <w:sz w:val="32"/>
        </w:rPr>
      </w:pPr>
      <w:r>
        <w:rPr>
          <w:rFonts w:ascii="楷体" w:hAnsi="楷体" w:eastAsia="楷体" w:cs="楷体"/>
          <w:sz w:val="32"/>
        </w:rPr>
        <w:t>三、部门决算单位构成</w:t>
      </w:r>
    </w:p>
    <w:p w14:paraId="57579693">
      <w:pPr>
        <w:rPr>
          <w:rFonts w:ascii="楷体" w:hAnsi="楷体" w:eastAsia="楷体" w:cs="楷体"/>
          <w:sz w:val="32"/>
        </w:rPr>
      </w:pPr>
    </w:p>
    <w:p w14:paraId="07588E52">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14:paraId="78E8385F">
      <w:pPr>
        <w:rPr>
          <w:rFonts w:ascii="楷体" w:hAnsi="楷体" w:eastAsia="楷体" w:cs="楷体"/>
          <w:sz w:val="32"/>
        </w:rPr>
      </w:pPr>
      <w:r>
        <w:rPr>
          <w:rFonts w:ascii="楷体" w:hAnsi="楷体" w:eastAsia="楷体" w:cs="楷体"/>
          <w:sz w:val="32"/>
        </w:rPr>
        <w:t xml:space="preserve">一、收入支出决算总表 </w:t>
      </w:r>
    </w:p>
    <w:p w14:paraId="40B7FEC8">
      <w:pPr>
        <w:rPr>
          <w:rFonts w:ascii="楷体" w:hAnsi="楷体" w:eastAsia="楷体" w:cs="楷体"/>
          <w:sz w:val="32"/>
        </w:rPr>
      </w:pPr>
      <w:r>
        <w:rPr>
          <w:rFonts w:ascii="楷体" w:hAnsi="楷体" w:eastAsia="楷体" w:cs="楷体"/>
          <w:sz w:val="32"/>
        </w:rPr>
        <w:t xml:space="preserve">二、收入决算表 </w:t>
      </w:r>
    </w:p>
    <w:p w14:paraId="5483AE13">
      <w:pPr>
        <w:rPr>
          <w:rFonts w:ascii="楷体" w:hAnsi="楷体" w:eastAsia="楷体" w:cs="楷体"/>
          <w:sz w:val="32"/>
        </w:rPr>
      </w:pPr>
      <w:r>
        <w:rPr>
          <w:rFonts w:ascii="楷体" w:hAnsi="楷体" w:eastAsia="楷体" w:cs="楷体"/>
          <w:sz w:val="32"/>
        </w:rPr>
        <w:t xml:space="preserve">三、支出决算表 </w:t>
      </w:r>
    </w:p>
    <w:p w14:paraId="25125F00">
      <w:pPr>
        <w:rPr>
          <w:rFonts w:ascii="楷体" w:hAnsi="楷体" w:eastAsia="楷体" w:cs="楷体"/>
          <w:sz w:val="32"/>
        </w:rPr>
      </w:pPr>
      <w:r>
        <w:rPr>
          <w:rFonts w:ascii="楷体" w:hAnsi="楷体" w:eastAsia="楷体" w:cs="楷体"/>
          <w:sz w:val="32"/>
        </w:rPr>
        <w:t xml:space="preserve">四、财政拨款收入支出决算总表 </w:t>
      </w:r>
    </w:p>
    <w:p w14:paraId="3B02A478">
      <w:pPr>
        <w:rPr>
          <w:rFonts w:ascii="楷体" w:hAnsi="楷体" w:eastAsia="楷体" w:cs="楷体"/>
          <w:sz w:val="32"/>
        </w:rPr>
      </w:pPr>
      <w:r>
        <w:rPr>
          <w:rFonts w:ascii="楷体" w:hAnsi="楷体" w:eastAsia="楷体" w:cs="楷体"/>
          <w:sz w:val="32"/>
        </w:rPr>
        <w:t xml:space="preserve">五、一般公共预算财政拨款支出决算表 </w:t>
      </w:r>
    </w:p>
    <w:p w14:paraId="0563A88C">
      <w:pPr>
        <w:rPr>
          <w:rFonts w:ascii="楷体" w:hAnsi="楷体" w:eastAsia="楷体" w:cs="楷体"/>
          <w:sz w:val="32"/>
        </w:rPr>
      </w:pPr>
      <w:r>
        <w:rPr>
          <w:rFonts w:ascii="楷体" w:hAnsi="楷体" w:eastAsia="楷体" w:cs="楷体"/>
          <w:sz w:val="32"/>
        </w:rPr>
        <w:t xml:space="preserve">六、一般公共预算财政拨款基本支出决算表 </w:t>
      </w:r>
    </w:p>
    <w:p w14:paraId="26438B05">
      <w:pPr>
        <w:rPr>
          <w:rFonts w:ascii="楷体" w:hAnsi="楷体" w:eastAsia="楷体" w:cs="楷体"/>
          <w:sz w:val="32"/>
        </w:rPr>
      </w:pPr>
      <w:r>
        <w:rPr>
          <w:rFonts w:ascii="楷体" w:hAnsi="楷体" w:eastAsia="楷体" w:cs="楷体"/>
          <w:sz w:val="32"/>
        </w:rPr>
        <w:t xml:space="preserve">七、一般公共预算财政拨款“三公”经费支出决算表 </w:t>
      </w:r>
    </w:p>
    <w:p w14:paraId="4E15D311">
      <w:pPr>
        <w:rPr>
          <w:rFonts w:ascii="楷体" w:hAnsi="楷体" w:eastAsia="楷体" w:cs="楷体"/>
          <w:sz w:val="32"/>
        </w:rPr>
      </w:pPr>
      <w:r>
        <w:rPr>
          <w:rFonts w:ascii="楷体" w:hAnsi="楷体" w:eastAsia="楷体" w:cs="楷体"/>
          <w:sz w:val="32"/>
        </w:rPr>
        <w:t xml:space="preserve">八、政府性基金预算财政拨款收入支出决算表 </w:t>
      </w:r>
    </w:p>
    <w:p w14:paraId="086032C8">
      <w:pPr>
        <w:rPr>
          <w:rFonts w:ascii="楷体" w:hAnsi="楷体" w:eastAsia="楷体" w:cs="楷体"/>
          <w:sz w:val="32"/>
        </w:rPr>
      </w:pPr>
    </w:p>
    <w:p w14:paraId="008ADCCF">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14:paraId="32F10BF4">
      <w:pPr>
        <w:jc w:val="left"/>
        <w:rPr>
          <w:rFonts w:ascii="楷体" w:hAnsi="楷体" w:eastAsia="楷体" w:cs="楷体"/>
          <w:sz w:val="32"/>
        </w:rPr>
      </w:pPr>
      <w:r>
        <w:rPr>
          <w:rFonts w:hint="eastAsia" w:ascii="楷体" w:hAnsi="楷体" w:eastAsia="楷体" w:cs="楷体"/>
          <w:sz w:val="32"/>
        </w:rPr>
        <w:t>一、收入支出决算总体情况说明</w:t>
      </w:r>
    </w:p>
    <w:p w14:paraId="020DCD30">
      <w:pPr>
        <w:jc w:val="left"/>
        <w:rPr>
          <w:rFonts w:ascii="楷体" w:hAnsi="楷体" w:eastAsia="楷体" w:cs="楷体"/>
          <w:sz w:val="32"/>
        </w:rPr>
      </w:pPr>
      <w:r>
        <w:rPr>
          <w:rFonts w:hint="eastAsia" w:ascii="楷体" w:hAnsi="楷体" w:eastAsia="楷体" w:cs="楷体"/>
          <w:sz w:val="32"/>
        </w:rPr>
        <w:t>二、收入决算情况说明</w:t>
      </w:r>
    </w:p>
    <w:p w14:paraId="253A30F2">
      <w:pPr>
        <w:jc w:val="left"/>
        <w:rPr>
          <w:rFonts w:ascii="楷体" w:hAnsi="楷体" w:eastAsia="楷体" w:cs="楷体"/>
          <w:sz w:val="32"/>
        </w:rPr>
      </w:pPr>
      <w:r>
        <w:rPr>
          <w:rFonts w:hint="eastAsia" w:ascii="楷体" w:hAnsi="楷体" w:eastAsia="楷体" w:cs="楷体"/>
          <w:sz w:val="32"/>
        </w:rPr>
        <w:t>三、支出决算情况说明</w:t>
      </w:r>
    </w:p>
    <w:p w14:paraId="1064241E">
      <w:pPr>
        <w:jc w:val="left"/>
        <w:rPr>
          <w:rFonts w:ascii="楷体" w:hAnsi="楷体" w:eastAsia="楷体" w:cs="楷体"/>
          <w:sz w:val="32"/>
        </w:rPr>
      </w:pPr>
      <w:r>
        <w:rPr>
          <w:rFonts w:hint="eastAsia" w:ascii="楷体" w:hAnsi="楷体" w:eastAsia="楷体" w:cs="楷体"/>
          <w:sz w:val="32"/>
        </w:rPr>
        <w:t>四、财政拨款收入支出决算总体情况说明</w:t>
      </w:r>
    </w:p>
    <w:p w14:paraId="1EB07449">
      <w:pPr>
        <w:jc w:val="left"/>
        <w:rPr>
          <w:rFonts w:ascii="楷体" w:hAnsi="楷体" w:eastAsia="楷体" w:cs="楷体"/>
          <w:sz w:val="32"/>
        </w:rPr>
      </w:pPr>
      <w:r>
        <w:rPr>
          <w:rFonts w:hint="eastAsia" w:ascii="楷体" w:hAnsi="楷体" w:eastAsia="楷体" w:cs="楷体"/>
          <w:sz w:val="32"/>
        </w:rPr>
        <w:t>五、一般公共预算财政拨款支出决算情况说明</w:t>
      </w:r>
    </w:p>
    <w:p w14:paraId="0AC5E3D8">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14:paraId="027675BD">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14:paraId="04D82D57">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14:paraId="087DED13">
      <w:pPr>
        <w:jc w:val="left"/>
        <w:rPr>
          <w:rFonts w:ascii="楷体" w:hAnsi="楷体" w:eastAsia="楷体" w:cs="楷体"/>
          <w:sz w:val="32"/>
        </w:rPr>
      </w:pPr>
      <w:r>
        <w:rPr>
          <w:rFonts w:hint="eastAsia" w:ascii="楷体" w:hAnsi="楷体" w:eastAsia="楷体" w:cs="楷体"/>
          <w:sz w:val="32"/>
        </w:rPr>
        <w:t>九、预算绩效情况说明</w:t>
      </w:r>
    </w:p>
    <w:p w14:paraId="22D41BB6">
      <w:pPr>
        <w:jc w:val="left"/>
        <w:rPr>
          <w:rFonts w:ascii="楷体" w:hAnsi="楷体" w:eastAsia="楷体" w:cs="楷体"/>
          <w:sz w:val="32"/>
        </w:rPr>
      </w:pPr>
      <w:r>
        <w:rPr>
          <w:rFonts w:hint="eastAsia" w:ascii="楷体" w:hAnsi="楷体" w:eastAsia="楷体" w:cs="楷体"/>
          <w:sz w:val="32"/>
        </w:rPr>
        <w:t xml:space="preserve">十、其他重要事项情况说明 </w:t>
      </w:r>
    </w:p>
    <w:p w14:paraId="25EAF1DB">
      <w:pPr>
        <w:rPr>
          <w:rFonts w:ascii="黑体" w:hAnsi="黑体" w:eastAsia="黑体" w:cs="黑体"/>
          <w:sz w:val="32"/>
        </w:rPr>
      </w:pPr>
    </w:p>
    <w:p w14:paraId="4314BBA7">
      <w:pPr>
        <w:rPr>
          <w:rFonts w:ascii="黑体" w:hAnsi="黑体" w:eastAsia="黑体" w:cs="黑体"/>
          <w:sz w:val="32"/>
        </w:rPr>
      </w:pPr>
      <w:r>
        <w:rPr>
          <w:rFonts w:ascii="黑体" w:hAnsi="黑体" w:eastAsia="黑体" w:cs="黑体"/>
          <w:sz w:val="32"/>
        </w:rPr>
        <w:t>第四部分 名词解释</w:t>
      </w:r>
    </w:p>
    <w:p w14:paraId="4F33E1BC">
      <w:pPr>
        <w:rPr>
          <w:rFonts w:ascii="黑体" w:hAnsi="黑体" w:eastAsia="黑体" w:cs="黑体"/>
          <w:sz w:val="32"/>
        </w:rPr>
      </w:pPr>
      <w:r>
        <w:rPr>
          <w:rFonts w:hint="eastAsia" w:ascii="黑体" w:hAnsi="黑体" w:eastAsia="黑体" w:cs="黑体"/>
          <w:sz w:val="32"/>
        </w:rPr>
        <w:t>第五部分 附件</w:t>
      </w:r>
    </w:p>
    <w:p w14:paraId="17579C91">
      <w:pPr>
        <w:jc w:val="center"/>
        <w:rPr>
          <w:rFonts w:ascii="宋体" w:hAnsi="宋体" w:eastAsia="宋体" w:cs="宋体"/>
          <w:sz w:val="44"/>
        </w:rPr>
      </w:pPr>
    </w:p>
    <w:p w14:paraId="0800A6FE">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第一部分 市公路管理局(本部)概况</w:t>
      </w:r>
    </w:p>
    <w:p w14:paraId="1FAB2D57">
      <w:pPr>
        <w:jc w:val="center"/>
        <w:rPr>
          <w:rFonts w:ascii="方正小标宋_GBK" w:hAnsi="方正小标宋_GBK" w:eastAsia="方正小标宋_GBK" w:cs="方正小标宋_GBK"/>
          <w:sz w:val="44"/>
        </w:rPr>
      </w:pPr>
    </w:p>
    <w:p w14:paraId="22A6615E">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14:paraId="75AEE32A">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中心的主要职能：</w:t>
      </w:r>
    </w:p>
    <w:p w14:paraId="676E2FFD">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（一）依据全市交通发展规划编制全市公路发展规划</w:t>
      </w:r>
    </w:p>
    <w:p w14:paraId="33041098">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（二）负责辖区内国省干线公路的建设、养护和管理，具体实施国省干线公路的路面大中修、灾毁重建、灾害防治、安全保障、危桥改造等养护工程；</w:t>
      </w:r>
    </w:p>
    <w:p w14:paraId="4A8393EC">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（三）负责市立项的公路建设项目的工程设计、施工和质量安全</w:t>
      </w:r>
    </w:p>
    <w:p w14:paraId="6CD501F5">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（四）负责益桃一级公路超限超载治理，负责查处重大或跨区域路政案件，负责公路路政与超限超载治理的执法监督；</w:t>
      </w:r>
    </w:p>
    <w:p w14:paraId="15ADE5E5">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（五）组织、指导公路重大灾害应急抢险；负责全市公路养护工作的指导、监督、检查与考核工作；</w:t>
      </w:r>
    </w:p>
    <w:p w14:paraId="488A2FAA">
      <w:pPr>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 xml:space="preserve">(六) 负责引导、推广公路建设、管理、养护的新技术、新工艺、新材料、新设备的应用。 </w:t>
      </w:r>
    </w:p>
    <w:p w14:paraId="1B2A10F0">
      <w:pPr>
        <w:ind w:left="795" w:hanging="795"/>
        <w:rPr>
          <w:rFonts w:hint="eastAsia" w:ascii="黑体" w:hAnsi="黑体" w:eastAsia="黑体" w:cs="黑体"/>
          <w:sz w:val="32"/>
        </w:rPr>
      </w:pPr>
      <w:r>
        <w:rPr>
          <w:rFonts w:hint="eastAsia" w:ascii="黑体" w:hAnsi="黑体" w:eastAsia="黑体" w:cs="黑体"/>
          <w:sz w:val="32"/>
        </w:rPr>
        <w:t>二、机构设置</w:t>
      </w:r>
    </w:p>
    <w:p w14:paraId="76FE3698">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市公路</w:t>
      </w:r>
      <w:r>
        <w:rPr>
          <w:rFonts w:hint="eastAsia" w:ascii="楷体_GB2312" w:hAnsi="楷体_GB2312" w:eastAsia="楷体_GB2312" w:cs="楷体_GB2312"/>
          <w:color w:val="000000"/>
          <w:sz w:val="32"/>
          <w:szCs w:val="32"/>
          <w:lang w:eastAsia="zh-CN"/>
        </w:rPr>
        <w:t>管理</w:t>
      </w:r>
      <w:r>
        <w:rPr>
          <w:rFonts w:hint="eastAsia" w:ascii="楷体_GB2312" w:hAnsi="楷体_GB2312" w:eastAsia="楷体_GB2312" w:cs="楷体_GB2312"/>
          <w:color w:val="000000"/>
          <w:sz w:val="32"/>
          <w:szCs w:val="32"/>
        </w:rPr>
        <w:t>局机关内设办公室、政策法规科、计划科、统计信息科、工程科、干线公路建设管理科、干线公路养护机务科、农村公路建设科、农村公路养护科、质量监督科、安全监督科、科技教育科、财务科、审计科、人事科、离退休人员管理科16个职能科室。</w:t>
      </w:r>
    </w:p>
    <w:p w14:paraId="4238CBDE">
      <w:pPr>
        <w:ind w:left="795" w:hanging="795"/>
        <w:jc w:val="left"/>
        <w:rPr>
          <w:rFonts w:ascii="黑体" w:hAnsi="黑体" w:eastAsia="黑体" w:cs="黑体"/>
          <w:sz w:val="32"/>
        </w:rPr>
      </w:pPr>
      <w:r>
        <w:rPr>
          <w:rFonts w:ascii="黑体" w:hAnsi="黑体" w:eastAsia="黑体" w:cs="黑体"/>
          <w:sz w:val="32"/>
        </w:rPr>
        <w:t>三、部门决算单位构成</w:t>
      </w:r>
    </w:p>
    <w:p w14:paraId="3F920EAE">
      <w:pPr>
        <w:ind w:firstLine="640"/>
        <w:rPr>
          <w:rFonts w:ascii="仿宋" w:hAnsi="仿宋" w:eastAsia="仿宋" w:cs="仿宋"/>
          <w:sz w:val="32"/>
        </w:rPr>
      </w:pPr>
      <w:r>
        <w:rPr>
          <w:rFonts w:hint="eastAsia" w:ascii="楷体_GB2312" w:hAnsi="楷体_GB2312" w:eastAsia="楷体_GB2312" w:cs="楷体_GB2312"/>
          <w:sz w:val="32"/>
        </w:rPr>
        <w:t>从决算单位构成看，益阳市公路管理局（本部）部门决算包括：益阳市公路管理局（本部）决算本</w:t>
      </w:r>
      <w:r>
        <w:rPr>
          <w:rFonts w:hint="eastAsia" w:ascii="仿宋" w:hAnsi="仿宋" w:eastAsia="仿宋" w:cs="仿宋"/>
          <w:sz w:val="32"/>
        </w:rPr>
        <w:t>级决算</w:t>
      </w:r>
    </w:p>
    <w:p w14:paraId="7C074B2C">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14:paraId="61425734">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4277BC">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7278A2">
            <w:pPr>
              <w:jc w:val="center"/>
            </w:pPr>
            <w:r>
              <w:rPr>
                <w:rFonts w:ascii="仿宋" w:hAnsi="仿宋" w:eastAsia="仿宋" w:cs="仿宋"/>
                <w:b/>
                <w:sz w:val="28"/>
              </w:rPr>
              <w:t>单位名称</w:t>
            </w:r>
          </w:p>
        </w:tc>
      </w:tr>
      <w:tr w14:paraId="667CD96C">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01D880">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7F8D08">
            <w:pPr>
              <w:rPr>
                <w:rFonts w:ascii="仿宋_GB2312" w:hAnsi="仿宋_GB2312" w:eastAsia="仿宋_GB2312" w:cs="仿宋_GB2312"/>
                <w:sz w:val="32"/>
                <w:szCs w:val="32"/>
              </w:rPr>
            </w:pPr>
            <w:r>
              <w:rPr>
                <w:rFonts w:hint="eastAsia" w:ascii="楷体_GB2312" w:hAnsi="楷体_GB2312" w:eastAsia="楷体_GB2312" w:cs="楷体_GB2312"/>
                <w:sz w:val="32"/>
                <w:szCs w:val="32"/>
              </w:rPr>
              <w:t>益阳市公路管理局（本部）</w:t>
            </w:r>
          </w:p>
        </w:tc>
      </w:tr>
    </w:tbl>
    <w:p w14:paraId="35066DD2">
      <w:pPr>
        <w:rPr>
          <w:rFonts w:ascii="仿宋" w:hAnsi="仿宋" w:eastAsia="仿宋" w:cs="仿宋"/>
          <w:sz w:val="32"/>
        </w:rPr>
      </w:pPr>
    </w:p>
    <w:p w14:paraId="3F0BDA3A">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第二部分 益阳市公路管理局（本部）2019 年度部门决算表</w:t>
      </w:r>
    </w:p>
    <w:p w14:paraId="0BDB752D">
      <w:pPr>
        <w:ind w:firstLine="640"/>
        <w:rPr>
          <w:rFonts w:hint="eastAsia" w:ascii="楷体_GB2312" w:hAnsi="楷体_GB2312" w:eastAsia="楷体_GB2312" w:cs="楷体_GB2312"/>
          <w:sz w:val="44"/>
          <w:szCs w:val="44"/>
        </w:rPr>
      </w:pPr>
    </w:p>
    <w:p w14:paraId="6AC3A9E2">
      <w:pPr>
        <w:jc w:val="left"/>
        <w:rPr>
          <w:rFonts w:hint="eastAsia" w:ascii="楷体_GB2312" w:hAnsi="楷体_GB2312" w:eastAsia="楷体_GB2312" w:cs="楷体_GB2312"/>
          <w:sz w:val="32"/>
        </w:rPr>
      </w:pPr>
      <w:r>
        <w:rPr>
          <w:rFonts w:hint="eastAsia" w:ascii="楷体_GB2312" w:hAnsi="楷体_GB2312" w:eastAsia="楷体_GB2312" w:cs="楷体_GB2312"/>
          <w:sz w:val="32"/>
        </w:rPr>
        <w:t>表1：收入支出决算总表</w:t>
      </w:r>
    </w:p>
    <w:p w14:paraId="096EBF4A">
      <w:pPr>
        <w:jc w:val="left"/>
        <w:rPr>
          <w:rFonts w:hint="eastAsia" w:ascii="楷体_GB2312" w:hAnsi="楷体_GB2312" w:eastAsia="楷体_GB2312" w:cs="楷体_GB2312"/>
          <w:sz w:val="32"/>
        </w:rPr>
      </w:pPr>
      <w:r>
        <w:rPr>
          <w:rFonts w:hint="eastAsia" w:ascii="楷体_GB2312" w:hAnsi="楷体_GB2312" w:eastAsia="楷体_GB2312" w:cs="楷体_GB2312"/>
          <w:sz w:val="32"/>
        </w:rPr>
        <w:t>表2：收入决算表</w:t>
      </w:r>
    </w:p>
    <w:p w14:paraId="192283B4">
      <w:pPr>
        <w:jc w:val="left"/>
        <w:rPr>
          <w:rFonts w:hint="eastAsia" w:ascii="楷体_GB2312" w:hAnsi="楷体_GB2312" w:eastAsia="楷体_GB2312" w:cs="楷体_GB2312"/>
          <w:sz w:val="32"/>
        </w:rPr>
      </w:pPr>
      <w:r>
        <w:rPr>
          <w:rFonts w:hint="eastAsia" w:ascii="楷体_GB2312" w:hAnsi="楷体_GB2312" w:eastAsia="楷体_GB2312" w:cs="楷体_GB2312"/>
          <w:sz w:val="32"/>
        </w:rPr>
        <w:t>表3：支出决算表</w:t>
      </w:r>
    </w:p>
    <w:p w14:paraId="39170AC2">
      <w:pPr>
        <w:jc w:val="left"/>
        <w:rPr>
          <w:rFonts w:hint="eastAsia" w:ascii="楷体_GB2312" w:hAnsi="楷体_GB2312" w:eastAsia="楷体_GB2312" w:cs="楷体_GB2312"/>
          <w:sz w:val="32"/>
        </w:rPr>
      </w:pPr>
      <w:r>
        <w:rPr>
          <w:rFonts w:hint="eastAsia" w:ascii="楷体_GB2312" w:hAnsi="楷体_GB2312" w:eastAsia="楷体_GB2312" w:cs="楷体_GB2312"/>
          <w:sz w:val="32"/>
        </w:rPr>
        <w:t>表4：财政拨款收入支出决算总表</w:t>
      </w:r>
    </w:p>
    <w:p w14:paraId="3407FEA5">
      <w:pPr>
        <w:jc w:val="left"/>
        <w:rPr>
          <w:rFonts w:hint="eastAsia" w:ascii="楷体_GB2312" w:hAnsi="楷体_GB2312" w:eastAsia="楷体_GB2312" w:cs="楷体_GB2312"/>
          <w:sz w:val="32"/>
        </w:rPr>
      </w:pPr>
      <w:r>
        <w:rPr>
          <w:rFonts w:hint="eastAsia" w:ascii="楷体_GB2312" w:hAnsi="楷体_GB2312" w:eastAsia="楷体_GB2312" w:cs="楷体_GB2312"/>
          <w:sz w:val="32"/>
        </w:rPr>
        <w:t>表5：一般公共预算财政拨款支出决算表</w:t>
      </w:r>
    </w:p>
    <w:p w14:paraId="356A2BD5">
      <w:pPr>
        <w:jc w:val="left"/>
        <w:rPr>
          <w:rFonts w:hint="eastAsia" w:ascii="楷体_GB2312" w:hAnsi="楷体_GB2312" w:eastAsia="楷体_GB2312" w:cs="楷体_GB2312"/>
          <w:sz w:val="32"/>
        </w:rPr>
      </w:pPr>
      <w:r>
        <w:rPr>
          <w:rFonts w:hint="eastAsia" w:ascii="楷体_GB2312" w:hAnsi="楷体_GB2312" w:eastAsia="楷体_GB2312" w:cs="楷体_GB2312"/>
          <w:sz w:val="32"/>
        </w:rPr>
        <w:t>表6：一般公共预算财政拨款基本支出决算表</w:t>
      </w:r>
    </w:p>
    <w:p w14:paraId="09B9C42E">
      <w:pPr>
        <w:jc w:val="left"/>
        <w:rPr>
          <w:rFonts w:hint="eastAsia" w:ascii="楷体_GB2312" w:hAnsi="楷体_GB2312" w:eastAsia="楷体_GB2312" w:cs="楷体_GB2312"/>
          <w:sz w:val="32"/>
        </w:rPr>
      </w:pPr>
      <w:r>
        <w:rPr>
          <w:rFonts w:hint="eastAsia" w:ascii="楷体_GB2312" w:hAnsi="楷体_GB2312" w:eastAsia="楷体_GB2312" w:cs="楷体_GB2312"/>
          <w:sz w:val="32"/>
        </w:rPr>
        <w:t>表7：一般公共预算财政拨款“三公”经费支出决算表</w:t>
      </w:r>
    </w:p>
    <w:p w14:paraId="3E7E3B15">
      <w:pPr>
        <w:jc w:val="left"/>
        <w:rPr>
          <w:rFonts w:hint="eastAsia" w:ascii="楷体_GB2312" w:hAnsi="楷体_GB2312" w:eastAsia="楷体_GB2312" w:cs="楷体_GB2312"/>
          <w:sz w:val="32"/>
        </w:rPr>
      </w:pPr>
      <w:r>
        <w:rPr>
          <w:rFonts w:hint="eastAsia" w:ascii="楷体_GB2312" w:hAnsi="楷体_GB2312" w:eastAsia="楷体_GB2312" w:cs="楷体_GB2312"/>
          <w:sz w:val="32"/>
        </w:rPr>
        <w:t>表8：政府性基金预算财政拨款收入支出决算表</w:t>
      </w:r>
    </w:p>
    <w:p w14:paraId="5C7A9C43">
      <w:pPr>
        <w:jc w:val="left"/>
        <w:rPr>
          <w:rFonts w:ascii="仿宋" w:hAnsi="仿宋" w:eastAsia="仿宋" w:cs="仿宋"/>
          <w:sz w:val="32"/>
        </w:rPr>
      </w:pPr>
    </w:p>
    <w:p w14:paraId="5587DCA9">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第三部分</w:t>
      </w:r>
    </w:p>
    <w:p w14:paraId="6CE0153E">
      <w:pPr>
        <w:jc w:val="center"/>
        <w:rPr>
          <w:rFonts w:hint="eastAsia" w:ascii="楷体_GB2312" w:hAnsi="楷体_GB2312" w:eastAsia="楷体_GB2312" w:cs="楷体_GB2312"/>
          <w:sz w:val="44"/>
        </w:rPr>
      </w:pPr>
      <w:r>
        <w:rPr>
          <w:rFonts w:hint="eastAsia" w:ascii="楷体_GB2312" w:hAnsi="楷体_GB2312" w:eastAsia="楷体_GB2312" w:cs="楷体_GB2312"/>
          <w:sz w:val="44"/>
        </w:rPr>
        <w:t>益阳市公路管理局（本部）2019 年度部门决算情况说明</w:t>
      </w:r>
    </w:p>
    <w:p w14:paraId="2819ECAD">
      <w:pPr>
        <w:ind w:firstLine="640"/>
        <w:jc w:val="left"/>
        <w:rPr>
          <w:rFonts w:ascii="黑体" w:hAnsi="黑体" w:eastAsia="黑体" w:cs="黑体"/>
          <w:sz w:val="32"/>
        </w:rPr>
      </w:pPr>
    </w:p>
    <w:p w14:paraId="384E2094">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益阳市公路管理局（本部）</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14:paraId="3232592C">
      <w:pPr>
        <w:ind w:firstLine="640"/>
        <w:jc w:val="left"/>
        <w:rPr>
          <w:rFonts w:ascii="仿宋" w:hAnsi="仿宋" w:eastAsia="仿宋" w:cs="仿宋"/>
          <w:sz w:val="32"/>
        </w:rPr>
      </w:pPr>
      <w:r>
        <w:rPr>
          <w:rFonts w:hint="eastAsia" w:ascii="楷体_GB2312" w:hAnsi="楷体_GB2312" w:eastAsia="楷体_GB2312" w:cs="楷体_GB2312"/>
          <w:sz w:val="32"/>
        </w:rPr>
        <w:t>益阳市公路管理局（本部）2019年度收入总计24779.95万元，比上年同期增加4027.93万元，增长19.41%；支出总计23011.71万元，比上年同期增加5731.6万元，增长33.17%。主要原因：</w:t>
      </w:r>
      <w:r>
        <w:rPr>
          <w:rFonts w:hint="eastAsia" w:ascii="楷体_GB2312" w:hAnsi="楷体_GB2312" w:eastAsia="楷体_GB2312" w:cs="楷体_GB2312"/>
          <w:sz w:val="32"/>
          <w:lang w:eastAsia="zh-CN"/>
        </w:rPr>
        <w:t>今年</w:t>
      </w:r>
      <w:r>
        <w:rPr>
          <w:rFonts w:hint="eastAsia" w:ascii="楷体_GB2312" w:hAnsi="楷体_GB2312" w:eastAsia="楷体_GB2312" w:cs="楷体_GB2312"/>
          <w:sz w:val="32"/>
        </w:rPr>
        <w:t>公路养护</w:t>
      </w:r>
      <w:r>
        <w:rPr>
          <w:rFonts w:hint="eastAsia" w:ascii="楷体_GB2312" w:hAnsi="楷体_GB2312" w:eastAsia="楷体_GB2312" w:cs="楷体_GB2312"/>
          <w:sz w:val="32"/>
          <w:lang w:eastAsia="zh-CN"/>
        </w:rPr>
        <w:t>投入</w:t>
      </w:r>
      <w:r>
        <w:rPr>
          <w:rFonts w:hint="eastAsia" w:ascii="楷体_GB2312" w:hAnsi="楷体_GB2312" w:eastAsia="楷体_GB2312" w:cs="楷体_GB2312"/>
          <w:sz w:val="32"/>
          <w:lang w:val="en-US" w:eastAsia="zh-CN"/>
        </w:rPr>
        <w:t>22870.48万元，</w:t>
      </w:r>
      <w:r>
        <w:rPr>
          <w:rFonts w:hint="eastAsia" w:ascii="楷体_GB2312" w:hAnsi="楷体_GB2312" w:eastAsia="楷体_GB2312" w:cs="楷体_GB2312"/>
          <w:sz w:val="32"/>
        </w:rPr>
        <w:t>比去年增加439</w:t>
      </w: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rPr>
        <w:t>.97万元</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支出</w:t>
      </w:r>
      <w:r>
        <w:rPr>
          <w:rFonts w:hint="eastAsia" w:ascii="楷体_GB2312" w:hAnsi="楷体_GB2312" w:eastAsia="楷体_GB2312" w:cs="楷体_GB2312"/>
          <w:sz w:val="32"/>
          <w:lang w:eastAsia="zh-CN"/>
        </w:rPr>
        <w:t>为</w:t>
      </w:r>
      <w:r>
        <w:rPr>
          <w:rFonts w:hint="eastAsia" w:ascii="楷体_GB2312" w:hAnsi="楷体_GB2312" w:eastAsia="楷体_GB2312" w:cs="楷体_GB2312"/>
          <w:sz w:val="32"/>
          <w:lang w:val="en-US" w:eastAsia="zh-CN"/>
        </w:rPr>
        <w:t>21063.42万元，</w:t>
      </w:r>
      <w:r>
        <w:rPr>
          <w:rFonts w:hint="eastAsia" w:ascii="楷体_GB2312" w:hAnsi="楷体_GB2312" w:eastAsia="楷体_GB2312" w:cs="楷体_GB2312"/>
          <w:sz w:val="32"/>
        </w:rPr>
        <w:t>比</w:t>
      </w:r>
      <w:r>
        <w:rPr>
          <w:rFonts w:hint="eastAsia" w:ascii="楷体_GB2312" w:hAnsi="楷体_GB2312" w:eastAsia="楷体_GB2312" w:cs="楷体_GB2312"/>
          <w:sz w:val="32"/>
          <w:lang w:eastAsia="zh-CN"/>
        </w:rPr>
        <w:t>去</w:t>
      </w:r>
      <w:r>
        <w:rPr>
          <w:rFonts w:hint="eastAsia" w:ascii="楷体_GB2312" w:hAnsi="楷体_GB2312" w:eastAsia="楷体_GB2312" w:cs="楷体_GB2312"/>
          <w:sz w:val="32"/>
        </w:rPr>
        <w:t>年增加</w:t>
      </w:r>
      <w:r>
        <w:rPr>
          <w:rFonts w:hint="eastAsia" w:ascii="楷体_GB2312" w:hAnsi="楷体_GB2312" w:eastAsia="楷体_GB2312" w:cs="楷体_GB2312"/>
          <w:sz w:val="32"/>
          <w:lang w:val="en-US" w:eastAsia="zh-CN"/>
        </w:rPr>
        <w:t>6018.99</w:t>
      </w:r>
      <w:r>
        <w:rPr>
          <w:rFonts w:hint="eastAsia" w:ascii="楷体_GB2312" w:hAnsi="楷体_GB2312" w:eastAsia="楷体_GB2312" w:cs="楷体_GB2312"/>
          <w:sz w:val="32"/>
        </w:rPr>
        <w:t>万元。</w:t>
      </w:r>
    </w:p>
    <w:p w14:paraId="76D5F168">
      <w:pPr>
        <w:ind w:firstLine="640"/>
        <w:jc w:val="left"/>
        <w:rPr>
          <w:rFonts w:ascii="仿宋" w:hAnsi="仿宋" w:eastAsia="仿宋" w:cs="仿宋"/>
          <w:sz w:val="32"/>
        </w:rPr>
      </w:pPr>
      <w:r>
        <w:rPr>
          <w:rFonts w:hint="eastAsia" w:ascii="仿宋" w:hAnsi="仿宋" w:eastAsia="仿宋" w:cs="仿宋"/>
          <w:sz w:val="32"/>
        </w:rPr>
        <w:t xml:space="preserve"> </w:t>
      </w:r>
    </w:p>
    <w:p w14:paraId="76796B1D">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14:paraId="503F0D1A">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2019年度收入合计 24779.95万元，其中：财政拨款收入1909.47万元，占 7.71%；其他收入22870.48万元，占92.29%。</w:t>
      </w:r>
    </w:p>
    <w:p w14:paraId="0F99D8CC">
      <w:pPr>
        <w:jc w:val="left"/>
        <w:rPr>
          <w:rFonts w:ascii="仿宋" w:hAnsi="仿宋" w:eastAsia="仿宋" w:cs="仿宋"/>
          <w:sz w:val="32"/>
        </w:rPr>
      </w:pPr>
    </w:p>
    <w:p w14:paraId="11641C6A">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14:paraId="0980A5AD">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2019年度支出合计23011.71万元，其中：基本支出2376.61万元，占 10.33%；项目支出20635.10万元，占89.67%。</w:t>
      </w:r>
    </w:p>
    <w:p w14:paraId="2A601C69">
      <w:pPr>
        <w:ind w:firstLine="640"/>
        <w:jc w:val="left"/>
        <w:rPr>
          <w:rFonts w:ascii="仿宋" w:hAnsi="仿宋" w:eastAsia="仿宋" w:cs="仿宋"/>
          <w:sz w:val="32"/>
        </w:rPr>
      </w:pPr>
    </w:p>
    <w:p w14:paraId="01B7D1F0">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14:paraId="7E66196B">
      <w:pPr>
        <w:ind w:firstLine="640"/>
        <w:jc w:val="left"/>
        <w:rPr>
          <w:rFonts w:hint="eastAsia" w:ascii="楷体_GB2312" w:hAnsi="楷体_GB2312" w:eastAsia="楷体_GB2312" w:cs="楷体_GB2312"/>
          <w:sz w:val="32"/>
        </w:rPr>
      </w:pPr>
      <w:r>
        <w:rPr>
          <w:rFonts w:ascii="仿宋" w:hAnsi="仿宋" w:eastAsia="仿宋" w:cs="仿宋"/>
          <w:sz w:val="32"/>
        </w:rPr>
        <w:t xml:space="preserve"> </w:t>
      </w:r>
      <w:r>
        <w:rPr>
          <w:rFonts w:hint="eastAsia" w:ascii="楷体_GB2312" w:hAnsi="楷体_GB2312" w:eastAsia="楷体_GB2312" w:cs="楷体_GB2312"/>
          <w:sz w:val="32"/>
        </w:rPr>
        <w:t>2019 年度财政拨款收入总计1909.47万元，比上年减少364.05万元，下降16.01%；财政拨款支出总计1948.29万元，减少284.39万元，下降12.74%。主要原因：一是本年实有人数比去年减少21人（在职10人，退休11人），人员支出比去年明显减小；二是加强管理，严格控制开支，致使公用经费比去年减小。</w:t>
      </w:r>
    </w:p>
    <w:p w14:paraId="53831A8A">
      <w:pPr>
        <w:jc w:val="left"/>
        <w:rPr>
          <w:rFonts w:ascii="仿宋" w:hAnsi="仿宋" w:eastAsia="仿宋" w:cs="仿宋"/>
          <w:sz w:val="32"/>
        </w:rPr>
      </w:pPr>
    </w:p>
    <w:p w14:paraId="6923B1D4">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益阳市公路管理局（本部）</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14:paraId="6A442411">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（一）一般公共预算财政拨款收入支出决算总体情况。</w:t>
      </w:r>
    </w:p>
    <w:p w14:paraId="37620B4F">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一般公共预算财政拨款收入总计1909.47万元，比上年同期减少364.05万元，下降16.01%；一般公共预算财政拨款支出总计1948.29万元，比上年同期减少284.39万元，下降12.74%。主要原因：一是本年实有人数比去年减少21人（在职10人，退休11人），人员支出比去年明显减小；二是加强管理，严格控制开支，致使公用经费比去年减小。</w:t>
      </w:r>
    </w:p>
    <w:p w14:paraId="702DEB89">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（二）一般公共预算财政拨款支出决算构成情况。</w:t>
      </w:r>
    </w:p>
    <w:p w14:paraId="46C801B8">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年度财政拨款支出1948.29万元，主要用于以下方面： 交通运输（类）支出1379.72万元，占 70.82%；  教育（类）支出16.64万元，占 0.86%； 社会保障和就业（类）支出244.9万元，占12.57%； 住房保障（类）支出 65.67 万元，占 3.37%;  卫生健康（类）支出240.41，占12.34%， 农林水（类）支出0.96 万元，占0.04%。</w:t>
      </w:r>
    </w:p>
    <w:p w14:paraId="603645F0">
      <w:pPr>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w:t>
      </w:r>
    </w:p>
    <w:p w14:paraId="3DD1BBA2">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（三）一般公共预算财政拨款支出决算具体情况。</w:t>
      </w:r>
    </w:p>
    <w:p w14:paraId="015189E0">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年度财政拨款支出年初预算为 1425.01万元，支出决算为1948.29万元，完成年初预算的 136.72%。其中：</w:t>
      </w:r>
    </w:p>
    <w:p w14:paraId="2DA7C351">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1.卫生健康支出（类）行政事业单位医疗（款）行政单位医疗（项）财政拨款支出年初预算为 125.68万元，支出决算为 125.68万元，主要用于职工基本医疗保险缴费。</w:t>
      </w:r>
    </w:p>
    <w:p w14:paraId="36E9BAB3">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 卫生健康支出（类）行政事业单位医疗（款）公务员医疗补助（项）财政拨款支出年初预算为 114.73万元，支出决算为 114.73万元，主要用于参公人员的公务医疗补助缴费。</w:t>
      </w:r>
    </w:p>
    <w:p w14:paraId="04A7D058">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3. 交通运输支出（类）公路水路运输（款）行政运行（项）财政拨款支出年初预算为 1118.93万元，支出决算为 1354.72万元，主要用于单位行政运行支出。</w:t>
      </w:r>
    </w:p>
    <w:p w14:paraId="18062612">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4. 交通运输支出（类）公路水路运输（款）其他公路水路运输支出（项）财政拨款支出</w:t>
      </w:r>
      <w:r>
        <w:rPr>
          <w:rFonts w:hint="eastAsia" w:ascii="楷体_GB2312" w:hAnsi="楷体_GB2312" w:eastAsia="楷体_GB2312" w:cs="楷体_GB2312"/>
          <w:sz w:val="32"/>
          <w:lang w:eastAsia="zh-CN"/>
        </w:rPr>
        <w:t>年初</w:t>
      </w:r>
      <w:r>
        <w:rPr>
          <w:rFonts w:hint="eastAsia" w:ascii="楷体_GB2312" w:hAnsi="楷体_GB2312" w:eastAsia="楷体_GB2312" w:cs="楷体_GB2312"/>
          <w:sz w:val="32"/>
        </w:rPr>
        <w:t>预算为 0万元，</w:t>
      </w:r>
      <w:r>
        <w:rPr>
          <w:rFonts w:hint="eastAsia" w:ascii="楷体_GB2312" w:hAnsi="楷体_GB2312" w:eastAsia="楷体_GB2312" w:cs="楷体_GB2312"/>
          <w:sz w:val="32"/>
          <w:lang w:eastAsia="zh-CN"/>
        </w:rPr>
        <w:t>期中追加预算</w:t>
      </w:r>
      <w:r>
        <w:rPr>
          <w:rFonts w:hint="eastAsia" w:ascii="楷体_GB2312" w:hAnsi="楷体_GB2312" w:eastAsia="楷体_GB2312" w:cs="楷体_GB2312"/>
          <w:sz w:val="32"/>
          <w:lang w:val="en-US" w:eastAsia="zh-CN"/>
        </w:rPr>
        <w:t>25万元，</w:t>
      </w:r>
      <w:r>
        <w:rPr>
          <w:rFonts w:hint="eastAsia" w:ascii="楷体_GB2312" w:hAnsi="楷体_GB2312" w:eastAsia="楷体_GB2312" w:cs="楷体_GB2312"/>
          <w:sz w:val="32"/>
        </w:rPr>
        <w:t>支出决算为 25万元，主要用于</w:t>
      </w:r>
      <w:r>
        <w:rPr>
          <w:rFonts w:hint="eastAsia" w:ascii="楷体_GB2312" w:hAnsi="楷体_GB2312" w:eastAsia="楷体_GB2312" w:cs="楷体_GB2312"/>
          <w:sz w:val="32"/>
          <w:lang w:eastAsia="zh-CN"/>
        </w:rPr>
        <w:t>交通运输发展目标考核奖和公路养护专项支出。</w:t>
      </w:r>
      <w:r>
        <w:rPr>
          <w:rFonts w:hint="eastAsia" w:ascii="楷体_GB2312" w:hAnsi="楷体_GB2312" w:eastAsia="楷体_GB2312" w:cs="楷体_GB2312"/>
          <w:sz w:val="32"/>
        </w:rPr>
        <w:t>。</w:t>
      </w:r>
    </w:p>
    <w:p w14:paraId="3A8392EC">
      <w:pPr>
        <w:ind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5. 住房保障支出（类）住房改革支出（款）住房公积金（项）财政拨款支出年初预算为 65.67万元，支出决算为 65.67万元，主要用于缴纳住房公积金。</w:t>
      </w:r>
    </w:p>
    <w:p w14:paraId="305058AC">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6. 社会保障和就业支出（类）行政事业单位离退休</w:t>
      </w:r>
    </w:p>
    <w:p w14:paraId="3424392B">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（款）归口管理的行政单位离退休（项）财政拨款支出年初预算为 0万元，支出决算为 124.61万元，主要用于离退休人员津贴</w:t>
      </w:r>
      <w:r>
        <w:rPr>
          <w:rFonts w:hint="eastAsia" w:ascii="楷体_GB2312" w:hAnsi="楷体_GB2312" w:eastAsia="楷体_GB2312" w:cs="楷体_GB2312"/>
          <w:sz w:val="32"/>
          <w:lang w:eastAsia="zh-CN"/>
        </w:rPr>
        <w:t>等费用</w:t>
      </w:r>
      <w:r>
        <w:rPr>
          <w:rFonts w:hint="eastAsia" w:ascii="楷体_GB2312" w:hAnsi="楷体_GB2312" w:eastAsia="楷体_GB2312" w:cs="楷体_GB2312"/>
          <w:sz w:val="32"/>
        </w:rPr>
        <w:t>。</w:t>
      </w:r>
    </w:p>
    <w:p w14:paraId="6C6AF6A2">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7. 社会保障和就业支出（类）抚恤（款）死亡抚恤（项）财政拨款支出年初预算为 0万元，支出决算为 120.29万元，主要是退休人员死亡抚恤。</w:t>
      </w:r>
    </w:p>
    <w:p w14:paraId="7DA30D9C">
      <w:pPr>
        <w:ind w:firstLine="800" w:firstLineChars="25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rPr>
        <w:t>8.教育支出（类）其他教育支出（款）其他教育支出（项）财政拨款支出年初预算为 0万元，支出决算为 16.64万元，</w:t>
      </w:r>
      <w:r>
        <w:rPr>
          <w:rFonts w:hint="eastAsia" w:ascii="楷体_GB2312" w:hAnsi="楷体_GB2312" w:eastAsia="楷体_GB2312" w:cs="楷体_GB2312"/>
          <w:sz w:val="32"/>
          <w:lang w:eastAsia="zh-CN"/>
        </w:rPr>
        <w:t>主要用于其他商品服务支出。</w:t>
      </w:r>
    </w:p>
    <w:p w14:paraId="553E3E1F">
      <w:pPr>
        <w:jc w:val="left"/>
        <w:rPr>
          <w:rFonts w:ascii="仿宋" w:hAnsi="仿宋" w:eastAsia="仿宋" w:cs="仿宋"/>
          <w:b/>
          <w:sz w:val="32"/>
        </w:rPr>
      </w:pPr>
    </w:p>
    <w:p w14:paraId="4DEC7F9F">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14:paraId="3341771F">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2019年度一般公共预算财政拨款基本支出1922.34万元，其中人员经费支出 1602万元，主要包括：基本工资、津贴补贴、奖金、养老保险缴费、医疗保险缴费、住房公积金、离退休费、抚恤金；公用经费支出 320.34万元。主要包括：办公费、印刷费、水电费、差旅费、维修费、工会经费、福利费、公务接待费、公务用车运行维护费。</w:t>
      </w:r>
    </w:p>
    <w:p w14:paraId="47BEA2AB">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14:paraId="54CCB87D">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我单位无政府性基金预算财政拨款收入支出。</w:t>
      </w:r>
    </w:p>
    <w:p w14:paraId="5265DDAC">
      <w:pPr>
        <w:ind w:firstLine="640"/>
        <w:jc w:val="left"/>
        <w:rPr>
          <w:rFonts w:ascii="仿宋" w:hAnsi="仿宋" w:eastAsia="仿宋" w:cs="仿宋"/>
          <w:sz w:val="32"/>
        </w:rPr>
      </w:pPr>
    </w:p>
    <w:p w14:paraId="05694704">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14:paraId="2F117F6C">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（一）“三公”经费财政拨款支出决算总体情况说明。</w:t>
      </w:r>
    </w:p>
    <w:p w14:paraId="7453DB8F">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年度“三公”经费财政拨款支出预算为46万元，支出决算为32.82万元，完成预算的71.35%，其中：因公出国（境）费支出决算和预算均为 0万元；公务用车购置及运行费支出决算为27.46万元，完成预算的98.07%；公务接待费支出决算为 5.36万元，完成预算的29.78%。2019 年度“三公”经费支出决算数小于预算数的主要原因是严格控制业务招待费接待标准，减少接待人数和次数。</w:t>
      </w:r>
    </w:p>
    <w:p w14:paraId="56B6E937">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（二）“三公”经费财政拨款支出决算具体情况说明。</w:t>
      </w:r>
    </w:p>
    <w:p w14:paraId="79686F5A">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2019 年度“三公”经费财政拨款支出决算为32.82万元，其中：</w:t>
      </w:r>
      <w:r>
        <w:rPr>
          <w:rFonts w:hint="eastAsia" w:ascii="楷体_GB2312" w:hAnsi="楷体_GB2312" w:eastAsia="楷体_GB2312" w:cs="楷体_GB2312"/>
          <w:sz w:val="32"/>
          <w:lang w:eastAsia="zh-CN"/>
        </w:rPr>
        <w:t>财政拨款</w:t>
      </w:r>
      <w:r>
        <w:rPr>
          <w:rFonts w:hint="eastAsia" w:ascii="楷体_GB2312" w:hAnsi="楷体_GB2312" w:eastAsia="楷体_GB2312" w:cs="楷体_GB2312"/>
          <w:sz w:val="32"/>
        </w:rPr>
        <w:t>因公出国（境）费支出决算为 0万元；公务用车购置及运行费支出决算为27.46万元，占83.67%；公务接待费支出决算为 5.36万元，占16.33%。2019 年度“三公”经费支出决算数小于上年决算数的主要原因：一是去年有5.16万元因公出国（境）费，今年</w:t>
      </w:r>
      <w:r>
        <w:rPr>
          <w:rFonts w:hint="eastAsia" w:ascii="楷体_GB2312" w:hAnsi="楷体_GB2312" w:eastAsia="楷体_GB2312" w:cs="楷体_GB2312"/>
          <w:sz w:val="32"/>
          <w:lang w:eastAsia="zh-CN"/>
        </w:rPr>
        <w:t>无财政拨款</w:t>
      </w:r>
      <w:r>
        <w:rPr>
          <w:rFonts w:hint="eastAsia" w:ascii="楷体_GB2312" w:hAnsi="楷体_GB2312" w:eastAsia="楷体_GB2312" w:cs="楷体_GB2312"/>
          <w:sz w:val="32"/>
        </w:rPr>
        <w:t>因公出国（境）费；二是公务接待费比去年减少5.02万元。</w:t>
      </w:r>
    </w:p>
    <w:p w14:paraId="791A01F7">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1、因公出国（境）情况说明</w:t>
      </w:r>
    </w:p>
    <w:p w14:paraId="50179D96">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因公出国（境）团组数0个，0人，因公出国（境）的开支内容：无</w:t>
      </w:r>
    </w:p>
    <w:p w14:paraId="724C0BC7">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2、公务用车购置及运行经费情况说明</w:t>
      </w:r>
    </w:p>
    <w:p w14:paraId="73B52F80">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公务用车购置支出：0万元，购置数0台，保有量4台</w:t>
      </w:r>
    </w:p>
    <w:p w14:paraId="0EFB4A81">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运行经费支出：27.46万元，主要用于国省干线公路管养、离退休人员管理及其他日常公务使用。</w:t>
      </w:r>
    </w:p>
    <w:p w14:paraId="2BDD3376">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3、公务接待情况说明</w:t>
      </w:r>
    </w:p>
    <w:p w14:paraId="2FB0D4F9">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公务接待支出5.36万元，国内公务接待54批次，接待535人。接待支出主要用于接待省厅、省局领导及区县（市）交通系统人员来我局的公务活动。</w:t>
      </w:r>
    </w:p>
    <w:p w14:paraId="720CBFDD">
      <w:pPr>
        <w:ind w:firstLine="640"/>
        <w:jc w:val="left"/>
        <w:rPr>
          <w:rFonts w:hint="eastAsia" w:ascii="楷体_GB2312" w:hAnsi="楷体_GB2312" w:eastAsia="楷体_GB2312" w:cs="楷体_GB2312"/>
          <w:sz w:val="32"/>
        </w:rPr>
      </w:pPr>
    </w:p>
    <w:p w14:paraId="30378885">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14:paraId="7B449F33">
      <w:pPr>
        <w:ind w:firstLine="640"/>
        <w:jc w:val="left"/>
        <w:rPr>
          <w:rFonts w:hint="eastAsia" w:ascii="楷体_GB2312" w:hAnsi="楷体_GB2312" w:eastAsia="楷体_GB2312" w:cs="楷体_GB2312"/>
          <w:sz w:val="32"/>
        </w:rPr>
      </w:pPr>
      <w:r>
        <w:rPr>
          <w:rFonts w:hint="eastAsia" w:ascii="楷体" w:hAnsi="楷体" w:eastAsia="楷体" w:cs="楷体"/>
          <w:sz w:val="32"/>
        </w:rPr>
        <w:t>（</w:t>
      </w:r>
      <w:r>
        <w:rPr>
          <w:rFonts w:hint="eastAsia" w:ascii="楷体_GB2312" w:hAnsi="楷体_GB2312" w:eastAsia="楷体_GB2312" w:cs="楷体_GB2312"/>
          <w:sz w:val="32"/>
        </w:rPr>
        <w:t>一）绩效管理工作开展情况 。</w:t>
      </w:r>
    </w:p>
    <w:p w14:paraId="3284F5B3">
      <w:pPr>
        <w:ind w:firstLine="64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rPr>
        <w:t>根据预算绩效管理要求，</w:t>
      </w:r>
      <w:r>
        <w:rPr>
          <w:rFonts w:hint="eastAsia" w:ascii="楷体_GB2312" w:hAnsi="楷体_GB2312" w:eastAsia="楷体_GB2312" w:cs="楷体_GB2312"/>
          <w:sz w:val="32"/>
          <w:szCs w:val="32"/>
          <w:highlight w:val="none"/>
        </w:rPr>
        <w:t>为进一步规范财政资金管理，牢固树立预算绩效理念，强化部门支出责任，提高财政资金使用效益</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我局按照《益阳市财政局关于开展</w:t>
      </w:r>
      <w:r>
        <w:rPr>
          <w:rFonts w:hint="eastAsia" w:ascii="楷体_GB2312" w:hAnsi="楷体_GB2312" w:eastAsia="楷体_GB2312" w:cs="楷体_GB2312"/>
          <w:sz w:val="32"/>
          <w:szCs w:val="32"/>
          <w:highlight w:val="none"/>
          <w:lang w:eastAsia="zh-CN"/>
        </w:rPr>
        <w:t>2019</w:t>
      </w:r>
      <w:r>
        <w:rPr>
          <w:rFonts w:hint="eastAsia" w:ascii="楷体_GB2312" w:hAnsi="楷体_GB2312" w:eastAsia="楷体_GB2312" w:cs="楷体_GB2312"/>
          <w:sz w:val="32"/>
          <w:szCs w:val="32"/>
          <w:highlight w:val="none"/>
        </w:rPr>
        <w:t>年度预算绩效自评工作的通知》（益财绩〔</w:t>
      </w:r>
      <w:r>
        <w:rPr>
          <w:rFonts w:hint="eastAsia" w:ascii="楷体_GB2312" w:hAnsi="楷体_GB2312" w:eastAsia="楷体_GB2312" w:cs="楷体_GB2312"/>
          <w:sz w:val="32"/>
          <w:szCs w:val="32"/>
          <w:highlight w:val="none"/>
          <w:lang w:val="en-US" w:eastAsia="zh-CN"/>
        </w:rPr>
        <w:t>2020</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70</w:t>
      </w:r>
      <w:r>
        <w:rPr>
          <w:rFonts w:hint="eastAsia" w:ascii="楷体_GB2312" w:hAnsi="楷体_GB2312" w:eastAsia="楷体_GB2312" w:cs="楷体_GB2312"/>
          <w:sz w:val="32"/>
          <w:szCs w:val="32"/>
          <w:highlight w:val="none"/>
        </w:rPr>
        <w:t>号）的部署，对</w:t>
      </w:r>
      <w:r>
        <w:rPr>
          <w:rFonts w:hint="eastAsia" w:ascii="楷体_GB2312" w:hAnsi="楷体_GB2312" w:eastAsia="楷体_GB2312" w:cs="楷体_GB2312"/>
          <w:sz w:val="32"/>
          <w:szCs w:val="32"/>
          <w:highlight w:val="none"/>
          <w:lang w:eastAsia="zh-CN"/>
        </w:rPr>
        <w:t>2019</w:t>
      </w:r>
      <w:r>
        <w:rPr>
          <w:rFonts w:hint="eastAsia" w:ascii="楷体_GB2312" w:hAnsi="楷体_GB2312" w:eastAsia="楷体_GB2312" w:cs="楷体_GB2312"/>
          <w:sz w:val="32"/>
          <w:szCs w:val="32"/>
          <w:highlight w:val="none"/>
        </w:rPr>
        <w:t>年度部门整体支出绩效进行了自评，自评分</w:t>
      </w:r>
      <w:r>
        <w:rPr>
          <w:rFonts w:hint="eastAsia" w:ascii="楷体_GB2312" w:hAnsi="楷体_GB2312" w:eastAsia="楷体_GB2312" w:cs="楷体_GB2312"/>
          <w:sz w:val="32"/>
          <w:szCs w:val="32"/>
          <w:highlight w:val="none"/>
          <w:lang w:val="en-US" w:eastAsia="zh-CN"/>
        </w:rPr>
        <w:t>92.3</w:t>
      </w:r>
      <w:r>
        <w:rPr>
          <w:rFonts w:hint="eastAsia" w:ascii="楷体_GB2312" w:hAnsi="楷体_GB2312" w:eastAsia="楷体_GB2312" w:cs="楷体_GB2312"/>
          <w:sz w:val="32"/>
          <w:szCs w:val="32"/>
          <w:highlight w:val="none"/>
        </w:rPr>
        <w:t>分，自评结论为“优秀”。</w:t>
      </w:r>
    </w:p>
    <w:p w14:paraId="3937F502">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（二）部门决算中项目绩效自评结果 。</w:t>
      </w:r>
    </w:p>
    <w:p w14:paraId="3163CA65">
      <w:pPr>
        <w:keepNext w:val="0"/>
        <w:keepLines w:val="0"/>
        <w:pageBreakBefore w:val="0"/>
        <w:kinsoku/>
        <w:wordWrap/>
        <w:overflowPunct/>
        <w:autoSpaceDE/>
        <w:autoSpaceDN/>
        <w:bidi w:val="0"/>
        <w:adjustRightInd/>
        <w:snapToGrid/>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val="0"/>
          <w:bCs w:val="0"/>
          <w:color w:val="auto"/>
          <w:sz w:val="32"/>
          <w:lang w:eastAsia="zh-CN"/>
        </w:rPr>
        <w:t>我单位</w:t>
      </w:r>
      <w:r>
        <w:rPr>
          <w:rFonts w:hint="eastAsia" w:ascii="楷体_GB2312" w:hAnsi="楷体_GB2312" w:eastAsia="楷体_GB2312" w:cs="楷体_GB2312"/>
          <w:b w:val="0"/>
          <w:bCs w:val="0"/>
          <w:color w:val="auto"/>
          <w:sz w:val="32"/>
          <w:lang w:val="en-US" w:eastAsia="zh-CN"/>
        </w:rPr>
        <w:t>2019年度无纳入绩效自评的单个项目支出</w:t>
      </w:r>
      <w:r>
        <w:rPr>
          <w:rFonts w:hint="eastAsia" w:ascii="楷体_GB2312" w:hAnsi="楷体_GB2312" w:eastAsia="楷体_GB2312" w:cs="楷体_GB2312"/>
          <w:b w:val="0"/>
          <w:bCs w:val="0"/>
          <w:sz w:val="32"/>
          <w:lang w:val="en-US" w:eastAsia="zh-CN"/>
        </w:rPr>
        <w:t>。</w:t>
      </w:r>
      <w:r>
        <w:rPr>
          <w:rFonts w:hint="eastAsia" w:ascii="楷体_GB2312" w:hAnsi="楷体_GB2312" w:eastAsia="楷体_GB2312" w:cs="楷体_GB2312"/>
          <w:sz w:val="32"/>
          <w:lang w:val="en-US" w:eastAsia="zh-CN"/>
        </w:rPr>
        <w:t>2019年我单位</w:t>
      </w:r>
      <w:r>
        <w:rPr>
          <w:rFonts w:hint="eastAsia" w:ascii="楷体_GB2312" w:hAnsi="楷体_GB2312" w:eastAsia="楷体_GB2312" w:cs="楷体_GB2312"/>
          <w:b w:val="0"/>
          <w:bCs/>
          <w:sz w:val="32"/>
          <w:szCs w:val="32"/>
          <w:highlight w:val="none"/>
          <w:lang w:eastAsia="zh-CN"/>
        </w:rPr>
        <w:t>项目绩效总目标完成情况:我市国省干线公路大中修项目全</w:t>
      </w:r>
      <w:r>
        <w:rPr>
          <w:rFonts w:hint="eastAsia" w:ascii="楷体_GB2312" w:hAnsi="楷体_GB2312" w:eastAsia="楷体_GB2312" w:cs="楷体_GB2312"/>
          <w:sz w:val="32"/>
          <w:szCs w:val="32"/>
          <w:highlight w:val="none"/>
          <w:lang w:eastAsia="zh-CN"/>
        </w:rPr>
        <w:t>面完工，市委市政府确定的干线公路建设目标任务，农村公路建管养齐头并进助力农村人居环境整治，超载超限治理、路域环境整治、脱贫攻坚等，均超过完成目标任务。</w:t>
      </w:r>
    </w:p>
    <w:p w14:paraId="1F9C36A3">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（三）以部门为主体开展的重点绩效评价 </w:t>
      </w:r>
    </w:p>
    <w:p w14:paraId="3FD4D7B2">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益阳市公路管理局</w:t>
      </w:r>
      <w:r>
        <w:rPr>
          <w:rFonts w:hint="eastAsia" w:ascii="楷体_GB2312" w:hAnsi="楷体_GB2312" w:eastAsia="楷体_GB2312" w:cs="楷体_GB2312"/>
          <w:sz w:val="32"/>
          <w:lang w:val="en-US" w:eastAsia="zh-CN"/>
        </w:rPr>
        <w:t>2019年部门整体支出</w:t>
      </w:r>
      <w:r>
        <w:rPr>
          <w:rFonts w:hint="eastAsia" w:ascii="楷体_GB2312" w:hAnsi="楷体_GB2312" w:eastAsia="楷体_GB2312" w:cs="楷体_GB2312"/>
          <w:sz w:val="32"/>
        </w:rPr>
        <w:t>绩效评价报告》见“第五部分 附件”。</w:t>
      </w:r>
    </w:p>
    <w:p w14:paraId="4270BBD5">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（四）预算绩效情况的说明。</w:t>
      </w:r>
    </w:p>
    <w:p w14:paraId="6633718C">
      <w:pPr>
        <w:ind w:firstLine="640"/>
        <w:jc w:val="left"/>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在益阳市财政局组织绩效管理专家对</w:t>
      </w:r>
      <w:r>
        <w:rPr>
          <w:rFonts w:hint="eastAsia" w:ascii="楷体_GB2312" w:hAnsi="楷体_GB2312" w:eastAsia="楷体_GB2312" w:cs="楷体_GB2312"/>
          <w:sz w:val="32"/>
          <w:lang w:val="en-US" w:eastAsia="zh-CN"/>
        </w:rPr>
        <w:t>2019年度市直单位绩效自评报告的评审中，我单位被评为“优秀”。</w:t>
      </w:r>
    </w:p>
    <w:p w14:paraId="10235C59">
      <w:pPr>
        <w:ind w:firstLine="640"/>
        <w:jc w:val="left"/>
        <w:rPr>
          <w:rFonts w:ascii="仿宋" w:hAnsi="仿宋" w:eastAsia="仿宋" w:cs="仿宋"/>
          <w:sz w:val="32"/>
        </w:rPr>
      </w:pPr>
    </w:p>
    <w:p w14:paraId="1507B4E0">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14:paraId="0DEA46BC">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（一）预决算收支增减变化情况。</w:t>
      </w:r>
    </w:p>
    <w:p w14:paraId="39D0DE36">
      <w:pPr>
        <w:snapToGrid w:val="0"/>
        <w:spacing w:line="60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szCs w:val="32"/>
        </w:rPr>
        <w:t>１、</w:t>
      </w: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lang w:val="en-US" w:eastAsia="zh-CN"/>
        </w:rPr>
        <w:t>2019年</w:t>
      </w:r>
      <w:r>
        <w:rPr>
          <w:rFonts w:hint="eastAsia" w:ascii="楷体_GB2312" w:hAnsi="楷体_GB2312" w:eastAsia="楷体_GB2312" w:cs="楷体_GB2312"/>
          <w:sz w:val="32"/>
          <w:szCs w:val="32"/>
        </w:rPr>
        <w:t>度年初预算收入</w:t>
      </w:r>
      <w:r>
        <w:rPr>
          <w:rFonts w:hint="eastAsia" w:ascii="楷体_GB2312" w:hAnsi="楷体_GB2312" w:eastAsia="楷体_GB2312" w:cs="楷体_GB2312"/>
          <w:sz w:val="32"/>
          <w:szCs w:val="32"/>
          <w:lang w:val="en-US" w:eastAsia="zh-CN"/>
        </w:rPr>
        <w:t>2722.87</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决</w:t>
      </w:r>
      <w:r>
        <w:rPr>
          <w:rFonts w:hint="eastAsia" w:ascii="楷体_GB2312" w:hAnsi="楷体_GB2312" w:eastAsia="楷体_GB2312" w:cs="楷体_GB2312"/>
          <w:sz w:val="32"/>
          <w:szCs w:val="32"/>
        </w:rPr>
        <w:t>算收入</w:t>
      </w:r>
      <w:r>
        <w:rPr>
          <w:rFonts w:hint="eastAsia" w:ascii="楷体_GB2312" w:hAnsi="楷体_GB2312" w:eastAsia="楷体_GB2312" w:cs="楷体_GB2312"/>
          <w:sz w:val="32"/>
          <w:szCs w:val="32"/>
          <w:lang w:val="en-US" w:eastAsia="zh-CN"/>
        </w:rPr>
        <w:t>24779.95</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较上年决算收入增加4027.93</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年初预算收入未包含已纳入省级预算的公路养护专项收入是本年决算收入比年初预算大的主要原因；本年养护工程投资比去年大是本年决算收入比去年大的主要原因。</w:t>
      </w:r>
    </w:p>
    <w:p w14:paraId="02BEE902">
      <w:pPr>
        <w:snapToGrid w:val="0"/>
        <w:spacing w:line="60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lang w:val="en-US" w:eastAsia="zh-CN"/>
        </w:rPr>
        <w:t>2019</w:t>
      </w:r>
      <w:r>
        <w:rPr>
          <w:rFonts w:hint="eastAsia" w:ascii="楷体_GB2312" w:hAnsi="楷体_GB2312" w:eastAsia="楷体_GB2312" w:cs="楷体_GB2312"/>
          <w:sz w:val="32"/>
          <w:szCs w:val="32"/>
        </w:rPr>
        <w:t>年度年初预算</w:t>
      </w:r>
      <w:r>
        <w:rPr>
          <w:rFonts w:hint="eastAsia" w:ascii="楷体_GB2312" w:hAnsi="楷体_GB2312" w:eastAsia="楷体_GB2312" w:cs="楷体_GB2312"/>
          <w:sz w:val="32"/>
          <w:szCs w:val="32"/>
          <w:lang w:eastAsia="zh-CN"/>
        </w:rPr>
        <w:t>支出</w:t>
      </w:r>
      <w:r>
        <w:rPr>
          <w:rFonts w:hint="eastAsia" w:ascii="楷体_GB2312" w:hAnsi="楷体_GB2312" w:eastAsia="楷体_GB2312" w:cs="楷体_GB2312"/>
          <w:sz w:val="32"/>
          <w:szCs w:val="32"/>
          <w:lang w:val="en-US" w:eastAsia="zh-CN"/>
        </w:rPr>
        <w:t>2722.87</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决</w:t>
      </w:r>
      <w:r>
        <w:rPr>
          <w:rFonts w:hint="eastAsia" w:ascii="楷体_GB2312" w:hAnsi="楷体_GB2312" w:eastAsia="楷体_GB2312" w:cs="楷体_GB2312"/>
          <w:sz w:val="32"/>
          <w:szCs w:val="32"/>
        </w:rPr>
        <w:t>算</w:t>
      </w:r>
      <w:r>
        <w:rPr>
          <w:rFonts w:hint="eastAsia" w:ascii="楷体_GB2312" w:hAnsi="楷体_GB2312" w:eastAsia="楷体_GB2312" w:cs="楷体_GB2312"/>
          <w:sz w:val="32"/>
          <w:szCs w:val="32"/>
          <w:lang w:eastAsia="zh-CN"/>
        </w:rPr>
        <w:t>支出</w:t>
      </w:r>
      <w:r>
        <w:rPr>
          <w:rFonts w:hint="eastAsia" w:ascii="楷体_GB2312" w:hAnsi="楷体_GB2312" w:eastAsia="楷体_GB2312" w:cs="楷体_GB2312"/>
          <w:sz w:val="32"/>
          <w:szCs w:val="32"/>
          <w:lang w:val="en-US" w:eastAsia="zh-CN"/>
        </w:rPr>
        <w:t>23011.71</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较上年决算支出增加5731.60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年初预算支出未包含已纳入省级预算的公路养护专项支出是本年决算支出比年初预算大的主要原因；本年养护工程支出比去年大是本年决算支出比去年大的主要原因。</w:t>
      </w:r>
    </w:p>
    <w:p w14:paraId="3DE419CF">
      <w:pPr>
        <w:snapToGrid w:val="0"/>
        <w:spacing w:line="600" w:lineRule="exact"/>
        <w:ind w:firstLine="640" w:firstLineChars="200"/>
        <w:rPr>
          <w:rFonts w:hint="eastAsia" w:ascii="楷体_GB2312" w:hAnsi="楷体_GB2312" w:eastAsia="楷体_GB2312" w:cs="楷体_GB2312"/>
          <w:sz w:val="32"/>
          <w:lang w:val="en-US" w:eastAsia="zh-CN"/>
        </w:rPr>
      </w:pPr>
    </w:p>
    <w:p w14:paraId="4399E07D">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rPr>
        <w:t>（二）机关运行经费支出情况。</w:t>
      </w:r>
    </w:p>
    <w:p w14:paraId="6F001EBC">
      <w:pPr>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本部门2019年度机关</w:t>
      </w:r>
      <w:r>
        <w:rPr>
          <w:rFonts w:hint="eastAsia" w:ascii="楷体_GB2312" w:hAnsi="楷体_GB2312" w:eastAsia="楷体_GB2312" w:cs="楷体_GB2312"/>
          <w:sz w:val="32"/>
        </w:rPr>
        <w:t>运行经费支出</w:t>
      </w:r>
      <w:r>
        <w:rPr>
          <w:rFonts w:hint="eastAsia" w:ascii="楷体_GB2312" w:hAnsi="楷体_GB2312" w:eastAsia="楷体_GB2312" w:cs="楷体_GB2312"/>
          <w:sz w:val="32"/>
          <w:lang w:val="en-US" w:eastAsia="zh-CN"/>
        </w:rPr>
        <w:t>320.34</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其中</w:t>
      </w:r>
      <w:r>
        <w:rPr>
          <w:rFonts w:hint="eastAsia" w:ascii="楷体_GB2312" w:hAnsi="楷体_GB2312" w:eastAsia="楷体_GB2312" w:cs="楷体_GB2312"/>
          <w:sz w:val="32"/>
        </w:rPr>
        <w:t>办公费</w:t>
      </w:r>
      <w:r>
        <w:rPr>
          <w:rFonts w:hint="eastAsia" w:ascii="楷体_GB2312" w:hAnsi="楷体_GB2312" w:eastAsia="楷体_GB2312" w:cs="楷体_GB2312"/>
          <w:sz w:val="32"/>
          <w:lang w:val="en-US" w:eastAsia="zh-CN"/>
        </w:rPr>
        <w:t>21.78万元，水电费7.30万元、差旅费17.64万元、培训费3.48万元</w:t>
      </w:r>
      <w:r>
        <w:rPr>
          <w:rFonts w:hint="eastAsia" w:ascii="楷体_GB2312" w:hAnsi="楷体_GB2312" w:eastAsia="楷体_GB2312" w:cs="楷体_GB2312"/>
          <w:sz w:val="32"/>
          <w:lang w:val="en-US" w:eastAsia="zh-CN"/>
        </w:rPr>
        <w:tab/>
      </w:r>
      <w:r>
        <w:rPr>
          <w:rFonts w:hint="eastAsia" w:ascii="楷体_GB2312" w:hAnsi="楷体_GB2312" w:eastAsia="楷体_GB2312" w:cs="楷体_GB2312"/>
          <w:sz w:val="32"/>
          <w:lang w:val="en-US" w:eastAsia="zh-CN"/>
        </w:rPr>
        <w:t>、工会费10.94万元、福利</w:t>
      </w:r>
      <w:r>
        <w:rPr>
          <w:rFonts w:hint="eastAsia" w:ascii="楷体_GB2312" w:hAnsi="楷体_GB2312" w:eastAsia="楷体_GB2312" w:cs="楷体_GB2312"/>
          <w:sz w:val="32"/>
        </w:rPr>
        <w:t>费</w:t>
      </w:r>
      <w:r>
        <w:rPr>
          <w:rFonts w:hint="eastAsia" w:ascii="楷体_GB2312" w:hAnsi="楷体_GB2312" w:eastAsia="楷体_GB2312" w:cs="楷体_GB2312"/>
          <w:sz w:val="32"/>
          <w:lang w:val="en-US" w:eastAsia="zh-CN"/>
        </w:rPr>
        <w:t>80.49万元、其他交通费用58.74万元、公务接待费5.36万元、公务用车运行及维护费27.46万元、其他支出87.15万元</w:t>
      </w:r>
      <w:r>
        <w:rPr>
          <w:rFonts w:hint="eastAsia" w:ascii="楷体_GB2312" w:hAnsi="楷体_GB2312" w:eastAsia="楷体_GB2312" w:cs="楷体_GB2312"/>
          <w:sz w:val="32"/>
        </w:rPr>
        <w:t>。</w:t>
      </w:r>
    </w:p>
    <w:p w14:paraId="2DA9E5A4">
      <w:pPr>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auto"/>
          <w:sz w:val="32"/>
          <w:szCs w:val="32"/>
        </w:rPr>
        <w:t>本部门2019年度机关</w:t>
      </w:r>
      <w:r>
        <w:rPr>
          <w:rFonts w:hint="eastAsia" w:ascii="楷体_GB2312" w:hAnsi="楷体_GB2312" w:eastAsia="楷体_GB2312" w:cs="楷体_GB2312"/>
          <w:color w:val="auto"/>
          <w:sz w:val="32"/>
        </w:rPr>
        <w:t>运行经费支出</w:t>
      </w:r>
      <w:r>
        <w:rPr>
          <w:rFonts w:hint="eastAsia" w:ascii="楷体_GB2312" w:hAnsi="楷体_GB2312" w:eastAsia="楷体_GB2312" w:cs="楷体_GB2312"/>
          <w:color w:val="auto"/>
          <w:sz w:val="32"/>
          <w:lang w:eastAsia="zh-CN"/>
        </w:rPr>
        <w:t>比</w:t>
      </w:r>
      <w:r>
        <w:rPr>
          <w:rFonts w:hint="eastAsia" w:ascii="楷体_GB2312" w:hAnsi="楷体_GB2312" w:eastAsia="楷体_GB2312" w:cs="楷体_GB2312"/>
          <w:color w:val="auto"/>
          <w:sz w:val="32"/>
        </w:rPr>
        <w:t>上年</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33</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18</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下降</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39</w:t>
      </w:r>
      <w:r>
        <w:rPr>
          <w:rFonts w:hint="eastAsia" w:ascii="楷体_GB2312" w:hAnsi="楷体_GB2312" w:eastAsia="楷体_GB2312" w:cs="楷体_GB2312"/>
          <w:color w:val="auto"/>
          <w:sz w:val="32"/>
        </w:rPr>
        <w:t>%，主要原因是</w:t>
      </w:r>
      <w:r>
        <w:rPr>
          <w:rFonts w:hint="eastAsia" w:ascii="楷体_GB2312" w:hAnsi="楷体_GB2312" w:eastAsia="楷体_GB2312" w:cs="楷体_GB2312"/>
          <w:color w:val="auto"/>
          <w:sz w:val="32"/>
          <w:lang w:eastAsia="zh-CN"/>
        </w:rPr>
        <w:t>一</w:t>
      </w:r>
      <w:r>
        <w:rPr>
          <w:rFonts w:hint="eastAsia" w:ascii="楷体_GB2312" w:hAnsi="楷体_GB2312" w:eastAsia="楷体_GB2312" w:cs="楷体_GB2312"/>
          <w:color w:val="auto"/>
          <w:sz w:val="32"/>
        </w:rPr>
        <w:t>是</w:t>
      </w:r>
      <w:r>
        <w:rPr>
          <w:rFonts w:hint="eastAsia" w:ascii="楷体_GB2312" w:hAnsi="楷体_GB2312" w:eastAsia="楷体_GB2312" w:cs="楷体_GB2312"/>
          <w:sz w:val="32"/>
        </w:rPr>
        <w:t>本年实有人数比去年减少</w:t>
      </w:r>
      <w:r>
        <w:rPr>
          <w:rFonts w:hint="eastAsia" w:ascii="楷体_GB2312" w:hAnsi="楷体_GB2312" w:eastAsia="楷体_GB2312" w:cs="楷体_GB2312"/>
          <w:sz w:val="32"/>
          <w:lang w:eastAsia="zh-CN"/>
        </w:rPr>
        <w:t>，致使差旅费、车补等费用下降；二是</w:t>
      </w:r>
      <w:r>
        <w:rPr>
          <w:rFonts w:hint="eastAsia" w:ascii="楷体_GB2312" w:hAnsi="楷体_GB2312" w:eastAsia="楷体_GB2312" w:cs="楷体_GB2312"/>
          <w:sz w:val="32"/>
        </w:rPr>
        <w:t>加强管理，严格控制开支，致使</w:t>
      </w:r>
      <w:r>
        <w:rPr>
          <w:rFonts w:hint="eastAsia" w:ascii="楷体_GB2312" w:hAnsi="楷体_GB2312" w:eastAsia="楷体_GB2312" w:cs="楷体_GB2312"/>
          <w:sz w:val="32"/>
          <w:lang w:eastAsia="zh-CN"/>
        </w:rPr>
        <w:t>办公费等日用开支降低</w:t>
      </w:r>
      <w:r>
        <w:rPr>
          <w:rFonts w:hint="eastAsia" w:ascii="楷体_GB2312" w:hAnsi="楷体_GB2312" w:eastAsia="楷体_GB2312" w:cs="楷体_GB2312"/>
          <w:sz w:val="32"/>
        </w:rPr>
        <w:t>。</w:t>
      </w:r>
    </w:p>
    <w:p w14:paraId="10DE69DD">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rPr>
        <w:t>（三）政府采购支出情况。</w:t>
      </w:r>
    </w:p>
    <w:p w14:paraId="3A55C1A0">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szCs w:val="32"/>
        </w:rPr>
        <w:t>本部门2019年度政府采购</w:t>
      </w:r>
      <w:r>
        <w:rPr>
          <w:rFonts w:hint="eastAsia" w:ascii="楷体_GB2312" w:hAnsi="楷体_GB2312" w:eastAsia="楷体_GB2312" w:cs="楷体_GB2312"/>
          <w:sz w:val="32"/>
          <w:szCs w:val="32"/>
          <w:lang w:val="en-US" w:eastAsia="zh-CN"/>
        </w:rPr>
        <w:t>295.46</w:t>
      </w:r>
      <w:r>
        <w:rPr>
          <w:rFonts w:hint="eastAsia" w:ascii="楷体_GB2312" w:hAnsi="楷体_GB2312" w:eastAsia="楷体_GB2312" w:cs="楷体_GB2312"/>
          <w:sz w:val="32"/>
        </w:rPr>
        <w:t>万元，其中，政府采购货物支出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万元，政府采购工程支出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万元，政府采购服务支出</w:t>
      </w:r>
      <w:r>
        <w:rPr>
          <w:rFonts w:hint="eastAsia" w:ascii="楷体_GB2312" w:hAnsi="楷体_GB2312" w:eastAsia="楷体_GB2312" w:cs="楷体_GB2312"/>
          <w:sz w:val="32"/>
          <w:lang w:val="en-US" w:eastAsia="zh-CN"/>
        </w:rPr>
        <w:t>295.46</w:t>
      </w:r>
      <w:r>
        <w:rPr>
          <w:rFonts w:hint="eastAsia" w:ascii="楷体_GB2312" w:hAnsi="楷体_GB2312" w:eastAsia="楷体_GB2312" w:cs="楷体_GB2312"/>
          <w:sz w:val="32"/>
        </w:rPr>
        <w:t>万元，占政府采购支出总额的</w:t>
      </w:r>
      <w:r>
        <w:rPr>
          <w:rFonts w:hint="eastAsia" w:ascii="楷体_GB2312" w:hAnsi="楷体_GB2312" w:eastAsia="楷体_GB2312" w:cs="楷体_GB2312"/>
          <w:sz w:val="32"/>
          <w:lang w:val="en-US" w:eastAsia="zh-CN"/>
        </w:rPr>
        <w:t>100</w:t>
      </w:r>
      <w:r>
        <w:rPr>
          <w:rFonts w:hint="eastAsia" w:ascii="楷体_GB2312" w:hAnsi="楷体_GB2312" w:eastAsia="楷体_GB2312" w:cs="楷体_GB2312"/>
          <w:sz w:val="32"/>
        </w:rPr>
        <w:t>%。</w:t>
      </w:r>
    </w:p>
    <w:p w14:paraId="193C22E9">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（四）国有资产占用情况。</w:t>
      </w:r>
    </w:p>
    <w:p w14:paraId="66615881">
      <w:pPr>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截至2019年12月31日，本部门共有车辆4辆，其中，领导干部用车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辆、一般公务用车</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辆、一般执法执勤用车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辆、特种专业技术用车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辆、其他用车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辆，其他用车主要是</w:t>
      </w:r>
      <w:r>
        <w:rPr>
          <w:rFonts w:hint="eastAsia" w:ascii="楷体_GB2312" w:hAnsi="楷体_GB2312" w:eastAsia="楷体_GB2312" w:cs="楷体_GB2312"/>
          <w:sz w:val="32"/>
          <w:szCs w:val="32"/>
          <w:lang w:eastAsia="zh-CN"/>
        </w:rPr>
        <w:t>机要通信和应急用车</w:t>
      </w:r>
      <w:r>
        <w:rPr>
          <w:rFonts w:hint="eastAsia" w:ascii="楷体_GB2312" w:hAnsi="楷体_GB2312" w:eastAsia="楷体_GB2312" w:cs="楷体_GB2312"/>
          <w:sz w:val="32"/>
          <w:szCs w:val="32"/>
          <w:lang w:val="en-US" w:eastAsia="zh-CN"/>
        </w:rPr>
        <w:t>2辆，离退休人员专项用车1辆</w:t>
      </w:r>
      <w:r>
        <w:rPr>
          <w:rFonts w:hint="eastAsia" w:ascii="楷体_GB2312" w:hAnsi="楷体_GB2312" w:eastAsia="楷体_GB2312" w:cs="楷体_GB2312"/>
          <w:sz w:val="32"/>
          <w:szCs w:val="32"/>
        </w:rPr>
        <w:t>；单位价值50万元以上通用设备0台(套)，单价100万正以上专用设备0台(套!</w:t>
      </w:r>
    </w:p>
    <w:p w14:paraId="75CF5E01">
      <w:pPr>
        <w:ind w:firstLine="640"/>
        <w:jc w:val="left"/>
        <w:rPr>
          <w:rFonts w:hint="eastAsia" w:ascii="楷体_GB2312" w:hAnsi="楷体_GB2312" w:eastAsia="楷体_GB2312" w:cs="楷体_GB2312"/>
          <w:sz w:val="32"/>
        </w:rPr>
      </w:pPr>
    </w:p>
    <w:p w14:paraId="137167AD">
      <w:pPr>
        <w:ind w:firstLine="640"/>
        <w:jc w:val="left"/>
        <w:rPr>
          <w:rFonts w:hint="eastAsia" w:ascii="楷体_GB2312" w:hAnsi="楷体_GB2312" w:eastAsia="楷体_GB2312" w:cs="楷体_GB2312"/>
          <w:sz w:val="32"/>
        </w:rPr>
      </w:pPr>
    </w:p>
    <w:p w14:paraId="457003B0">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第四部分 名词解释</w:t>
      </w:r>
    </w:p>
    <w:p w14:paraId="7D38472C">
      <w:pPr>
        <w:ind w:firstLine="643"/>
        <w:jc w:val="left"/>
        <w:rPr>
          <w:rFonts w:ascii="仿宋" w:hAnsi="仿宋" w:eastAsia="仿宋" w:cs="仿宋"/>
          <w:b/>
          <w:sz w:val="32"/>
        </w:rPr>
      </w:pPr>
    </w:p>
    <w:p w14:paraId="34A5B99F">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一、财政拨款收入：</w:t>
      </w:r>
      <w:r>
        <w:rPr>
          <w:rFonts w:hint="eastAsia" w:ascii="楷体_GB2312" w:hAnsi="楷体_GB2312" w:eastAsia="楷体_GB2312" w:cs="楷体_GB2312"/>
          <w:sz w:val="32"/>
        </w:rPr>
        <w:t xml:space="preserve">指中央财政当年拨付的资金。 </w:t>
      </w:r>
    </w:p>
    <w:p w14:paraId="73C15C9F">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二、事业收入：</w:t>
      </w:r>
      <w:r>
        <w:rPr>
          <w:rFonts w:hint="eastAsia" w:ascii="楷体_GB2312" w:hAnsi="楷体_GB2312" w:eastAsia="楷体_GB2312" w:cs="楷体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6D37D8A6">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三、经营收入：</w:t>
      </w:r>
      <w:r>
        <w:rPr>
          <w:rFonts w:hint="eastAsia" w:ascii="楷体_GB2312" w:hAnsi="楷体_GB2312" w:eastAsia="楷体_GB2312" w:cs="楷体_GB2312"/>
          <w:sz w:val="32"/>
        </w:rPr>
        <w:t xml:space="preserve">指事业单位在专业业务活动及其辅助活动之外开展非独立核算经营活动取得的收入。如：中国财政杂志社广告收入等。 </w:t>
      </w:r>
    </w:p>
    <w:p w14:paraId="4A876BED">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四、其他收入：</w:t>
      </w:r>
      <w:r>
        <w:rPr>
          <w:rFonts w:hint="eastAsia" w:ascii="楷体_GB2312" w:hAnsi="楷体_GB2312" w:eastAsia="楷体_GB2312" w:cs="楷体_GB2312"/>
          <w:sz w:val="32"/>
        </w:rPr>
        <w:t xml:space="preserve">指除上述“财政拨款收入” 、 “事业收入” 、“经营收入”等以外的收入。主要是按规定动用的售房收入、存款利息收入等。 </w:t>
      </w:r>
    </w:p>
    <w:p w14:paraId="28C1B95C">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五、用事业基金弥补收支差额：</w:t>
      </w:r>
      <w:r>
        <w:rPr>
          <w:rFonts w:hint="eastAsia" w:ascii="楷体_GB2312" w:hAnsi="楷体_GB2312" w:eastAsia="楷体_GB2312" w:cs="楷体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F79DF4A">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六、年初结转和结余：</w:t>
      </w:r>
      <w:r>
        <w:rPr>
          <w:rFonts w:hint="eastAsia" w:ascii="楷体_GB2312" w:hAnsi="楷体_GB2312" w:eastAsia="楷体_GB2312" w:cs="楷体_GB2312"/>
          <w:sz w:val="32"/>
        </w:rPr>
        <w:t xml:space="preserve">指以前年度尚未完成、结转到本年按有关规定继续使用的资金。 </w:t>
      </w:r>
    </w:p>
    <w:p w14:paraId="6D400716">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七、结余分配：</w:t>
      </w:r>
      <w:r>
        <w:rPr>
          <w:rFonts w:hint="eastAsia" w:ascii="楷体_GB2312" w:hAnsi="楷体_GB2312" w:eastAsia="楷体_GB2312" w:cs="楷体_GB2312"/>
          <w:sz w:val="32"/>
        </w:rPr>
        <w:t>指事业单位按规定提取的职工福利基金、事业基金和缴纳的所得税，以及建设单位按规定应交回的基本建设竣工项目结余资金。</w:t>
      </w:r>
    </w:p>
    <w:p w14:paraId="58ADB097">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八、年末结转和结余：</w:t>
      </w:r>
      <w:r>
        <w:rPr>
          <w:rFonts w:hint="eastAsia" w:ascii="楷体_GB2312" w:hAnsi="楷体_GB2312" w:eastAsia="楷体_GB2312" w:cs="楷体_GB2312"/>
          <w:sz w:val="32"/>
        </w:rPr>
        <w:t xml:space="preserve">指本年度或以前年度预算安排、因客观条件发生变化无法按原计划实施，需要延迟到以后年度按有关规定继续使用的资金。 </w:t>
      </w:r>
    </w:p>
    <w:p w14:paraId="0D135096">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九、基本支出：</w:t>
      </w:r>
      <w:r>
        <w:rPr>
          <w:rFonts w:hint="eastAsia" w:ascii="楷体_GB2312" w:hAnsi="楷体_GB2312" w:eastAsia="楷体_GB2312" w:cs="楷体_GB2312"/>
          <w:sz w:val="32"/>
        </w:rPr>
        <w:t>指为保障机构正常运转、完成日常工</w:t>
      </w:r>
    </w:p>
    <w:p w14:paraId="6D324CED">
      <w:pPr>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作任务而发生的人员支出和公用支出。 </w:t>
      </w:r>
    </w:p>
    <w:p w14:paraId="17E534CA">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十、项目支出：</w:t>
      </w:r>
      <w:r>
        <w:rPr>
          <w:rFonts w:hint="eastAsia" w:ascii="楷体_GB2312" w:hAnsi="楷体_GB2312" w:eastAsia="楷体_GB2312" w:cs="楷体_GB2312"/>
          <w:sz w:val="32"/>
        </w:rPr>
        <w:t xml:space="preserve">指在基本支出之外为完成特定行政任务和事业发展目标所发生的支出。 </w:t>
      </w:r>
    </w:p>
    <w:p w14:paraId="150B9D6C">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十一、经营支出：</w:t>
      </w:r>
      <w:r>
        <w:rPr>
          <w:rFonts w:hint="eastAsia" w:ascii="楷体_GB2312" w:hAnsi="楷体_GB2312" w:eastAsia="楷体_GB2312" w:cs="楷体_GB2312"/>
          <w:sz w:val="32"/>
        </w:rPr>
        <w:t xml:space="preserve">指事业单位在专业业务活动及其辅助活动之外开展非独立核算经营活动发生的支出。 </w:t>
      </w:r>
    </w:p>
    <w:p w14:paraId="0924278C">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十二、“三公”经费：</w:t>
      </w:r>
      <w:r>
        <w:rPr>
          <w:rFonts w:hint="eastAsia" w:ascii="楷体_GB2312" w:hAnsi="楷体_GB2312" w:eastAsia="楷体_GB2312" w:cs="楷体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B51DB68">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十三、机关运行经费：</w:t>
      </w:r>
      <w:r>
        <w:rPr>
          <w:rFonts w:hint="eastAsia" w:ascii="楷体_GB2312" w:hAnsi="楷体_GB2312" w:eastAsia="楷体_GB2312" w:cs="楷体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11832B">
      <w:pPr>
        <w:ind w:firstLine="643"/>
        <w:jc w:val="left"/>
        <w:rPr>
          <w:rFonts w:ascii="仿宋" w:hAnsi="仿宋" w:eastAsia="仿宋" w:cs="仿宋"/>
          <w:b/>
          <w:color w:val="FF0000"/>
          <w:sz w:val="32"/>
        </w:rPr>
      </w:pPr>
    </w:p>
    <w:p w14:paraId="33F816C3">
      <w:pPr>
        <w:jc w:val="center"/>
        <w:rPr>
          <w:rFonts w:ascii="宋体" w:hAnsi="宋体" w:eastAsia="宋体" w:cs="宋体"/>
          <w:sz w:val="44"/>
        </w:rPr>
      </w:pPr>
    </w:p>
    <w:p w14:paraId="6DBD04D2">
      <w:pPr>
        <w:jc w:val="center"/>
        <w:rPr>
          <w:rFonts w:ascii="宋体" w:hAnsi="宋体" w:eastAsia="宋体" w:cs="宋体"/>
          <w:sz w:val="44"/>
        </w:rPr>
      </w:pPr>
      <w:r>
        <w:rPr>
          <w:rFonts w:hint="eastAsia" w:ascii="楷体_GB2312" w:hAnsi="楷体_GB2312" w:eastAsia="楷体_GB2312" w:cs="楷体_GB2312"/>
          <w:sz w:val="44"/>
        </w:rPr>
        <w:t>第五部分   附件</w:t>
      </w:r>
    </w:p>
    <w:p w14:paraId="381D4E56">
      <w:pPr>
        <w:jc w:val="center"/>
        <w:rPr>
          <w:rFonts w:hint="eastAsia" w:ascii="楷体_GB2312" w:hAnsi="楷体_GB2312" w:eastAsia="楷体_GB2312" w:cs="楷体_GB2312"/>
          <w:b/>
          <w:bCs/>
          <w:color w:val="auto"/>
          <w:sz w:val="32"/>
          <w:lang w:val="en-US" w:eastAsia="zh-CN"/>
        </w:rPr>
      </w:pPr>
      <w:r>
        <w:rPr>
          <w:rFonts w:hint="eastAsia" w:ascii="楷体_GB2312" w:hAnsi="楷体_GB2312" w:eastAsia="楷体_GB2312" w:cs="楷体_GB2312"/>
          <w:b/>
          <w:bCs/>
          <w:color w:val="auto"/>
          <w:sz w:val="32"/>
          <w:lang w:eastAsia="zh-CN"/>
        </w:rPr>
        <w:t>我单位</w:t>
      </w:r>
      <w:r>
        <w:rPr>
          <w:rFonts w:hint="eastAsia" w:ascii="楷体_GB2312" w:hAnsi="楷体_GB2312" w:eastAsia="楷体_GB2312" w:cs="楷体_GB2312"/>
          <w:b/>
          <w:bCs/>
          <w:color w:val="auto"/>
          <w:sz w:val="32"/>
          <w:lang w:val="en-US" w:eastAsia="zh-CN"/>
        </w:rPr>
        <w:t xml:space="preserve">2019年度无纳入绩效自评的单个项目支出。后附《益阳市公路管理局2019年部门整体支出绩效评价报告》 </w:t>
      </w:r>
    </w:p>
    <w:p w14:paraId="19B20E40">
      <w:pPr>
        <w:jc w:val="center"/>
        <w:rPr>
          <w:rFonts w:hint="eastAsia" w:ascii="楷体_GB2312" w:hAnsi="楷体_GB2312" w:eastAsia="楷体_GB2312" w:cs="楷体_GB2312"/>
          <w:b/>
          <w:bCs/>
          <w:color w:val="auto"/>
          <w:sz w:val="32"/>
          <w:lang w:val="en-US" w:eastAsia="zh-CN"/>
        </w:rPr>
      </w:pPr>
    </w:p>
    <w:p w14:paraId="606E3BD2">
      <w:pPr>
        <w:jc w:val="center"/>
        <w:rPr>
          <w:rFonts w:hint="eastAsia" w:ascii="黑体" w:eastAsia="黑体"/>
          <w:b/>
          <w:sz w:val="44"/>
          <w:szCs w:val="44"/>
        </w:rPr>
      </w:pPr>
      <w:r>
        <w:rPr>
          <w:rFonts w:hint="eastAsia" w:ascii="黑体" w:eastAsia="黑体"/>
          <w:b/>
          <w:sz w:val="44"/>
          <w:szCs w:val="44"/>
        </w:rPr>
        <w:t>益阳市公路管理局</w:t>
      </w:r>
    </w:p>
    <w:p w14:paraId="72C3CA04">
      <w:pPr>
        <w:spacing w:before="156" w:beforeLines="50" w:line="500" w:lineRule="exact"/>
        <w:jc w:val="center"/>
        <w:rPr>
          <w:rFonts w:hint="eastAsia" w:ascii="黑体" w:eastAsia="黑体"/>
          <w:b/>
          <w:sz w:val="44"/>
          <w:szCs w:val="44"/>
        </w:rPr>
      </w:pPr>
      <w:r>
        <w:rPr>
          <w:rFonts w:hint="eastAsia" w:ascii="黑体" w:eastAsia="黑体"/>
          <w:b/>
          <w:sz w:val="44"/>
          <w:szCs w:val="44"/>
          <w:lang w:eastAsia="zh-CN"/>
        </w:rPr>
        <w:t>2019</w:t>
      </w:r>
      <w:r>
        <w:rPr>
          <w:rFonts w:hint="eastAsia" w:ascii="黑体" w:eastAsia="黑体"/>
          <w:b/>
          <w:sz w:val="44"/>
          <w:szCs w:val="44"/>
        </w:rPr>
        <w:t>年部门整体支出绩效评价报告</w:t>
      </w:r>
    </w:p>
    <w:p w14:paraId="6A272D5B">
      <w:pPr>
        <w:keepNext w:val="0"/>
        <w:keepLines w:val="0"/>
        <w:pageBreakBefore w:val="0"/>
        <w:widowControl w:val="0"/>
        <w:kinsoku/>
        <w:wordWrap/>
        <w:overflowPunct/>
        <w:topLinePunct w:val="0"/>
        <w:autoSpaceDE/>
        <w:autoSpaceDN/>
        <w:bidi w:val="0"/>
        <w:adjustRightInd/>
        <w:snapToGrid/>
        <w:spacing w:before="156" w:beforeLines="5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为进一步规范财政资金管理，牢固树立预算绩效理念，强化部门支出责任，提高财政资金使用效益，根据</w:t>
      </w:r>
      <w:r>
        <w:rPr>
          <w:rFonts w:hint="eastAsia" w:ascii="仿宋" w:hAnsi="仿宋" w:eastAsia="仿宋" w:cs="仿宋"/>
          <w:sz w:val="32"/>
          <w:szCs w:val="32"/>
          <w:highlight w:val="none"/>
          <w:lang w:eastAsia="zh-CN"/>
        </w:rPr>
        <w:t>《中共湖南省委办公厅</w:t>
      </w:r>
      <w:r>
        <w:rPr>
          <w:rFonts w:hint="eastAsia" w:ascii="仿宋" w:hAnsi="仿宋" w:eastAsia="仿宋" w:cs="仿宋"/>
          <w:sz w:val="32"/>
          <w:szCs w:val="32"/>
          <w:highlight w:val="none"/>
          <w:lang w:val="en-US" w:eastAsia="zh-CN"/>
        </w:rPr>
        <w:t xml:space="preserve"> 湖南省人民政府办公厅关于全面实施预算绩效管理的实施意见</w:t>
      </w:r>
      <w:r>
        <w:rPr>
          <w:rFonts w:hint="eastAsia" w:ascii="仿宋" w:hAnsi="仿宋" w:eastAsia="仿宋" w:cs="仿宋"/>
          <w:sz w:val="32"/>
          <w:szCs w:val="32"/>
          <w:highlight w:val="none"/>
          <w:lang w:eastAsia="zh-CN"/>
        </w:rPr>
        <w:t>》（湘办</w:t>
      </w:r>
      <w:r>
        <w:rPr>
          <w:rFonts w:hint="eastAsia" w:ascii="仿宋" w:hAnsi="仿宋" w:eastAsia="仿宋" w:cs="仿宋"/>
          <w:sz w:val="32"/>
          <w:szCs w:val="32"/>
          <w:highlight w:val="none"/>
        </w:rPr>
        <w:t>发[</w:t>
      </w:r>
      <w:r>
        <w:rPr>
          <w:rFonts w:hint="eastAsia" w:ascii="仿宋" w:hAnsi="仿宋" w:eastAsia="仿宋" w:cs="仿宋"/>
          <w:sz w:val="32"/>
          <w:szCs w:val="32"/>
          <w:highlight w:val="none"/>
          <w:lang w:val="en-US" w:eastAsia="zh-CN"/>
        </w:rPr>
        <w:t>2019</w:t>
      </w:r>
      <w:r>
        <w:rPr>
          <w:rFonts w:hint="eastAsia" w:ascii="仿宋" w:hAnsi="仿宋" w:eastAsia="仿宋" w:cs="仿宋"/>
          <w:sz w:val="32"/>
          <w:szCs w:val="32"/>
          <w:highlight w:val="none"/>
        </w:rPr>
        <w:t>]10号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《益阳市人民政府关于全面推进预算绩效管理的实施意见》（益政发[2013]10号）、</w:t>
      </w:r>
      <w:r>
        <w:rPr>
          <w:rFonts w:hint="eastAsia" w:ascii="仿宋" w:hAnsi="仿宋" w:eastAsia="仿宋" w:cs="仿宋"/>
          <w:sz w:val="32"/>
          <w:szCs w:val="32"/>
          <w:highlight w:val="none"/>
          <w:lang w:eastAsia="zh-CN"/>
        </w:rPr>
        <w:t>《益阳市财政局关于加强预算绩效管理工作的通知》</w:t>
      </w:r>
      <w:r>
        <w:rPr>
          <w:rFonts w:hint="eastAsia" w:ascii="仿宋" w:hAnsi="仿宋" w:eastAsia="仿宋" w:cs="仿宋"/>
          <w:sz w:val="32"/>
          <w:szCs w:val="32"/>
          <w:highlight w:val="none"/>
        </w:rPr>
        <w:t>（益</w:t>
      </w:r>
      <w:r>
        <w:rPr>
          <w:rFonts w:hint="eastAsia" w:ascii="仿宋" w:hAnsi="仿宋" w:eastAsia="仿宋" w:cs="仿宋"/>
          <w:sz w:val="32"/>
          <w:szCs w:val="32"/>
          <w:highlight w:val="none"/>
          <w:lang w:eastAsia="zh-CN"/>
        </w:rPr>
        <w:t>财绩</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198</w:t>
      </w:r>
      <w:r>
        <w:rPr>
          <w:rFonts w:hint="eastAsia" w:ascii="仿宋" w:hAnsi="仿宋" w:eastAsia="仿宋" w:cs="仿宋"/>
          <w:sz w:val="32"/>
          <w:szCs w:val="32"/>
          <w:highlight w:val="none"/>
        </w:rPr>
        <w:t>号），我局按照《益阳市财政局关于开展</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年度预算绩效自评工作的通知》（益财绩〔</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号）的部署，对</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年度公路管理局系统部门整体支出绩效进行了自评，自评分</w:t>
      </w:r>
      <w:r>
        <w:rPr>
          <w:rFonts w:hint="eastAsia" w:ascii="仿宋" w:hAnsi="仿宋" w:eastAsia="仿宋" w:cs="仿宋"/>
          <w:sz w:val="32"/>
          <w:szCs w:val="32"/>
          <w:highlight w:val="none"/>
          <w:lang w:val="en-US" w:eastAsia="zh-CN"/>
        </w:rPr>
        <w:t>92.3</w:t>
      </w:r>
      <w:r>
        <w:rPr>
          <w:rFonts w:hint="eastAsia" w:ascii="仿宋" w:hAnsi="仿宋" w:eastAsia="仿宋" w:cs="仿宋"/>
          <w:sz w:val="32"/>
          <w:szCs w:val="32"/>
          <w:highlight w:val="none"/>
        </w:rPr>
        <w:t>分，自评结论为“优秀”。现将具体情况报告如下：</w:t>
      </w:r>
    </w:p>
    <w:p w14:paraId="24D78E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一、基本情况</w:t>
      </w:r>
    </w:p>
    <w:p w14:paraId="37843A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益阳市公路管理局是市人民政府直属的参照公务员管理的正处级事业单位。机关内设办公室等16个职能科室。下辖益阳市公路路政执法支队、益阳市车辆超限超载谢林港检测站、益阳市公路工程试验检测中心、益阳市公路应急抢险中心4个正科级事业</w:t>
      </w:r>
      <w:r>
        <w:rPr>
          <w:rFonts w:hint="eastAsia" w:ascii="仿宋" w:hAnsi="仿宋" w:eastAsia="仿宋" w:cs="仿宋"/>
          <w:color w:val="auto"/>
          <w:sz w:val="32"/>
          <w:szCs w:val="32"/>
        </w:rPr>
        <w:t xml:space="preserve">单位。  </w:t>
      </w:r>
    </w:p>
    <w:p w14:paraId="017528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年市公路管理局系统编制人数</w:t>
      </w:r>
      <w:r>
        <w:rPr>
          <w:rFonts w:hint="eastAsia" w:ascii="仿宋" w:hAnsi="仿宋" w:eastAsia="仿宋" w:cs="仿宋"/>
          <w:color w:val="auto"/>
          <w:sz w:val="32"/>
          <w:szCs w:val="32"/>
          <w:lang w:val="en-US" w:eastAsia="zh-CN"/>
        </w:rPr>
        <w:t>290</w:t>
      </w:r>
      <w:r>
        <w:rPr>
          <w:rFonts w:hint="eastAsia" w:ascii="仿宋" w:hAnsi="仿宋" w:eastAsia="仿宋" w:cs="仿宋"/>
          <w:color w:val="auto"/>
          <w:sz w:val="32"/>
          <w:szCs w:val="32"/>
        </w:rPr>
        <w:t>人，其中参公编制</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rPr>
        <w:t>人（局机关</w:t>
      </w:r>
      <w:r>
        <w:rPr>
          <w:rFonts w:hint="eastAsia" w:ascii="仿宋" w:hAnsi="仿宋" w:eastAsia="仿宋" w:cs="仿宋"/>
          <w:color w:val="auto"/>
          <w:sz w:val="32"/>
          <w:szCs w:val="32"/>
          <w:lang w:val="en-US" w:eastAsia="zh-CN"/>
        </w:rPr>
        <w:t>74人</w:t>
      </w:r>
      <w:r>
        <w:rPr>
          <w:rFonts w:hint="eastAsia" w:ascii="仿宋" w:hAnsi="仿宋" w:eastAsia="仿宋" w:cs="仿宋"/>
          <w:color w:val="auto"/>
          <w:sz w:val="32"/>
          <w:szCs w:val="32"/>
        </w:rPr>
        <w:t>，路政执法支队</w:t>
      </w:r>
      <w:r>
        <w:rPr>
          <w:rFonts w:hint="eastAsia" w:ascii="仿宋" w:hAnsi="仿宋" w:eastAsia="仿宋" w:cs="仿宋"/>
          <w:color w:val="auto"/>
          <w:sz w:val="32"/>
          <w:szCs w:val="32"/>
          <w:lang w:val="en-US" w:eastAsia="zh-CN"/>
        </w:rPr>
        <w:t>25人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财政全额补助编制</w:t>
      </w:r>
      <w:r>
        <w:rPr>
          <w:rFonts w:hint="eastAsia" w:ascii="仿宋" w:hAnsi="仿宋" w:eastAsia="仿宋" w:cs="仿宋"/>
          <w:color w:val="auto"/>
          <w:sz w:val="32"/>
          <w:szCs w:val="32"/>
          <w:lang w:val="en-US" w:eastAsia="zh-CN"/>
        </w:rPr>
        <w:t>58人（</w:t>
      </w:r>
      <w:r>
        <w:rPr>
          <w:rFonts w:hint="eastAsia" w:ascii="仿宋" w:hAnsi="仿宋" w:eastAsia="仿宋" w:cs="仿宋"/>
          <w:color w:val="auto"/>
          <w:sz w:val="32"/>
          <w:szCs w:val="32"/>
        </w:rPr>
        <w:t>车辆超限超载谢林港检测站</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财政差额补助编制</w:t>
      </w:r>
      <w:r>
        <w:rPr>
          <w:rFonts w:hint="eastAsia" w:ascii="仿宋" w:hAnsi="仿宋" w:eastAsia="仿宋" w:cs="仿宋"/>
          <w:color w:val="auto"/>
          <w:sz w:val="32"/>
          <w:szCs w:val="32"/>
          <w:lang w:val="en-US" w:eastAsia="zh-CN"/>
        </w:rPr>
        <w:t>133</w:t>
      </w:r>
      <w:r>
        <w:rPr>
          <w:rFonts w:hint="eastAsia" w:ascii="仿宋" w:hAnsi="仿宋" w:eastAsia="仿宋" w:cs="仿宋"/>
          <w:color w:val="auto"/>
          <w:sz w:val="32"/>
          <w:szCs w:val="32"/>
        </w:rPr>
        <w:t>人（公路工程试验检测中心</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人、公路应急抢险中心</w:t>
      </w:r>
      <w:r>
        <w:rPr>
          <w:rFonts w:hint="eastAsia" w:ascii="仿宋" w:hAnsi="仿宋" w:eastAsia="仿宋" w:cs="仿宋"/>
          <w:color w:val="auto"/>
          <w:sz w:val="32"/>
          <w:szCs w:val="32"/>
          <w:lang w:val="en-US" w:eastAsia="zh-CN"/>
        </w:rPr>
        <w:t>122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sz w:val="32"/>
          <w:szCs w:val="32"/>
        </w:rPr>
        <w:t>年末实有人数</w:t>
      </w:r>
      <w:r>
        <w:rPr>
          <w:rFonts w:hint="eastAsia" w:ascii="仿宋" w:hAnsi="仿宋" w:eastAsia="仿宋" w:cs="仿宋"/>
          <w:sz w:val="32"/>
          <w:szCs w:val="32"/>
          <w:lang w:val="en-US" w:eastAsia="zh-CN"/>
        </w:rPr>
        <w:t>872</w:t>
      </w:r>
      <w:r>
        <w:rPr>
          <w:rFonts w:hint="eastAsia" w:ascii="仿宋" w:hAnsi="仿宋" w:eastAsia="仿宋" w:cs="仿宋"/>
          <w:sz w:val="32"/>
          <w:szCs w:val="32"/>
        </w:rPr>
        <w:t>人，其中在职人数</w:t>
      </w:r>
      <w:r>
        <w:rPr>
          <w:rFonts w:hint="eastAsia" w:ascii="仿宋" w:hAnsi="仿宋" w:eastAsia="仿宋" w:cs="仿宋"/>
          <w:sz w:val="32"/>
          <w:szCs w:val="32"/>
          <w:lang w:val="en-US" w:eastAsia="zh-CN"/>
        </w:rPr>
        <w:t>287</w:t>
      </w:r>
      <w:r>
        <w:rPr>
          <w:rFonts w:hint="eastAsia" w:ascii="仿宋" w:hAnsi="仿宋" w:eastAsia="仿宋" w:cs="仿宋"/>
          <w:sz w:val="32"/>
          <w:szCs w:val="32"/>
        </w:rPr>
        <w:t>人（局机关</w:t>
      </w:r>
      <w:r>
        <w:rPr>
          <w:rFonts w:hint="eastAsia" w:ascii="仿宋" w:hAnsi="仿宋" w:eastAsia="仿宋" w:cs="仿宋"/>
          <w:sz w:val="32"/>
          <w:szCs w:val="32"/>
          <w:lang w:val="en-US" w:eastAsia="zh-CN"/>
        </w:rPr>
        <w:t>64</w:t>
      </w:r>
      <w:r>
        <w:rPr>
          <w:rFonts w:hint="eastAsia" w:ascii="仿宋" w:hAnsi="仿宋" w:eastAsia="仿宋" w:cs="仿宋"/>
          <w:sz w:val="32"/>
          <w:szCs w:val="32"/>
        </w:rPr>
        <w:t>人，路政执法支队</w:t>
      </w:r>
      <w:r>
        <w:rPr>
          <w:rFonts w:hint="eastAsia" w:ascii="仿宋" w:hAnsi="仿宋" w:eastAsia="仿宋" w:cs="仿宋"/>
          <w:sz w:val="32"/>
          <w:szCs w:val="32"/>
          <w:lang w:val="en-US" w:eastAsia="zh-CN"/>
        </w:rPr>
        <w:t>19人</w:t>
      </w:r>
      <w:r>
        <w:rPr>
          <w:rFonts w:hint="eastAsia" w:ascii="仿宋" w:hAnsi="仿宋" w:eastAsia="仿宋" w:cs="仿宋"/>
          <w:sz w:val="32"/>
          <w:szCs w:val="32"/>
        </w:rPr>
        <w:t>，谢林港检测站</w:t>
      </w:r>
      <w:r>
        <w:rPr>
          <w:rFonts w:hint="eastAsia" w:ascii="仿宋" w:hAnsi="仿宋" w:eastAsia="仿宋" w:cs="仿宋"/>
          <w:sz w:val="32"/>
          <w:szCs w:val="32"/>
          <w:lang w:val="en-US" w:eastAsia="zh-CN"/>
        </w:rPr>
        <w:t>63</w:t>
      </w:r>
      <w:r>
        <w:rPr>
          <w:rFonts w:hint="eastAsia" w:ascii="仿宋" w:hAnsi="仿宋" w:eastAsia="仿宋" w:cs="仿宋"/>
          <w:sz w:val="32"/>
          <w:szCs w:val="32"/>
        </w:rPr>
        <w:t>人，检测中心9人，应急抢险中心</w:t>
      </w:r>
      <w:r>
        <w:rPr>
          <w:rFonts w:hint="eastAsia" w:ascii="仿宋" w:hAnsi="仿宋" w:eastAsia="仿宋" w:cs="仿宋"/>
          <w:sz w:val="32"/>
          <w:szCs w:val="32"/>
          <w:lang w:val="en-US" w:eastAsia="zh-CN"/>
        </w:rPr>
        <w:t>132</w:t>
      </w:r>
      <w:r>
        <w:rPr>
          <w:rFonts w:hint="eastAsia" w:ascii="仿宋" w:hAnsi="仿宋" w:eastAsia="仿宋" w:cs="仿宋"/>
          <w:sz w:val="32"/>
          <w:szCs w:val="32"/>
        </w:rPr>
        <w:t>人），离休1人，退休</w:t>
      </w:r>
      <w:r>
        <w:rPr>
          <w:rFonts w:hint="eastAsia" w:ascii="仿宋" w:hAnsi="仿宋" w:eastAsia="仿宋" w:cs="仿宋"/>
          <w:sz w:val="32"/>
          <w:szCs w:val="32"/>
          <w:lang w:val="en-US" w:eastAsia="zh-CN"/>
        </w:rPr>
        <w:t>584</w:t>
      </w:r>
      <w:r>
        <w:rPr>
          <w:rFonts w:hint="eastAsia" w:ascii="仿宋" w:hAnsi="仿宋" w:eastAsia="仿宋" w:cs="仿宋"/>
          <w:sz w:val="32"/>
          <w:szCs w:val="32"/>
        </w:rPr>
        <w:t xml:space="preserve">人。  </w:t>
      </w:r>
    </w:p>
    <w:p w14:paraId="782283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（一）部门整体收支概况</w:t>
      </w:r>
    </w:p>
    <w:p w14:paraId="54CF4E10">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年益阳市公路管理局部门决算收支完成情况。收入：</w:t>
      </w:r>
      <w:r>
        <w:rPr>
          <w:rFonts w:hint="eastAsia" w:ascii="仿宋" w:hAnsi="仿宋" w:eastAsia="仿宋" w:cs="仿宋"/>
          <w:sz w:val="32"/>
          <w:szCs w:val="32"/>
          <w:highlight w:val="none"/>
          <w:lang w:val="en-US" w:eastAsia="zh-CN"/>
        </w:rPr>
        <w:t>27,752.37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其中：财政拨款</w:t>
      </w:r>
      <w:r>
        <w:rPr>
          <w:rFonts w:hint="eastAsia" w:ascii="仿宋" w:hAnsi="仿宋" w:eastAsia="仿宋" w:cs="仿宋"/>
          <w:sz w:val="32"/>
          <w:szCs w:val="32"/>
          <w:highlight w:val="none"/>
          <w:lang w:val="en-US" w:eastAsia="zh-CN"/>
        </w:rPr>
        <w:t>4,492.32</w:t>
      </w:r>
      <w:r>
        <w:rPr>
          <w:rFonts w:hint="eastAsia" w:ascii="仿宋" w:hAnsi="仿宋" w:eastAsia="仿宋" w:cs="仿宋"/>
          <w:sz w:val="32"/>
          <w:szCs w:val="32"/>
          <w:highlight w:val="none"/>
        </w:rPr>
        <w:t>万元，事业收入</w:t>
      </w:r>
      <w:r>
        <w:rPr>
          <w:rFonts w:hint="eastAsia" w:ascii="仿宋" w:hAnsi="仿宋" w:eastAsia="仿宋" w:cs="仿宋"/>
          <w:sz w:val="32"/>
          <w:szCs w:val="32"/>
          <w:highlight w:val="none"/>
          <w:lang w:val="en-US" w:eastAsia="zh-CN"/>
        </w:rPr>
        <w:t>300.00</w:t>
      </w:r>
      <w:r>
        <w:rPr>
          <w:rFonts w:hint="eastAsia" w:ascii="仿宋" w:hAnsi="仿宋" w:eastAsia="仿宋" w:cs="仿宋"/>
          <w:sz w:val="32"/>
          <w:szCs w:val="32"/>
          <w:highlight w:val="none"/>
        </w:rPr>
        <w:t>万元，上级补助收入</w:t>
      </w:r>
      <w:r>
        <w:rPr>
          <w:rFonts w:hint="eastAsia" w:ascii="仿宋" w:hAnsi="仿宋" w:eastAsia="仿宋" w:cs="仿宋"/>
          <w:sz w:val="32"/>
          <w:szCs w:val="32"/>
          <w:highlight w:val="none"/>
          <w:lang w:val="en-US" w:eastAsia="zh-CN"/>
        </w:rPr>
        <w:t>52.64</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22,907.41</w:t>
      </w:r>
      <w:r>
        <w:rPr>
          <w:rFonts w:hint="eastAsia" w:ascii="仿宋" w:hAnsi="仿宋" w:eastAsia="仿宋" w:cs="仿宋"/>
          <w:sz w:val="32"/>
          <w:szCs w:val="32"/>
          <w:highlight w:val="none"/>
        </w:rPr>
        <w:t>万元。支出：</w:t>
      </w:r>
      <w:r>
        <w:rPr>
          <w:rFonts w:hint="eastAsia" w:ascii="仿宋" w:hAnsi="仿宋" w:eastAsia="仿宋" w:cs="仿宋"/>
          <w:sz w:val="32"/>
          <w:szCs w:val="32"/>
          <w:highlight w:val="none"/>
          <w:lang w:val="en-US" w:eastAsia="zh-CN"/>
        </w:rPr>
        <w:t>24,656.56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4,004.13</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20,652.43</w:t>
      </w:r>
      <w:r>
        <w:rPr>
          <w:rFonts w:hint="eastAsia" w:ascii="仿宋" w:hAnsi="仿宋" w:eastAsia="仿宋" w:cs="仿宋"/>
          <w:sz w:val="32"/>
          <w:szCs w:val="32"/>
          <w:highlight w:val="none"/>
        </w:rPr>
        <w:t>万元。年初预算</w:t>
      </w:r>
      <w:r>
        <w:rPr>
          <w:rFonts w:hint="eastAsia" w:ascii="仿宋" w:hAnsi="仿宋" w:eastAsia="仿宋" w:cs="仿宋"/>
          <w:sz w:val="32"/>
          <w:szCs w:val="32"/>
          <w:highlight w:val="none"/>
          <w:lang w:val="en-US" w:eastAsia="zh-CN"/>
        </w:rPr>
        <w:t>5,675.66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年初</w:t>
      </w:r>
      <w:r>
        <w:rPr>
          <w:rFonts w:hint="eastAsia" w:ascii="仿宋" w:hAnsi="仿宋" w:eastAsia="仿宋" w:cs="仿宋"/>
          <w:sz w:val="32"/>
          <w:szCs w:val="32"/>
          <w:highlight w:val="none"/>
        </w:rPr>
        <w:t>预算完成率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%，年末结转结余</w:t>
      </w:r>
      <w:r>
        <w:rPr>
          <w:rFonts w:hint="eastAsia" w:ascii="仿宋" w:hAnsi="仿宋" w:eastAsia="仿宋" w:cs="仿宋"/>
          <w:sz w:val="32"/>
          <w:szCs w:val="32"/>
          <w:highlight w:val="none"/>
          <w:lang w:val="en-US" w:eastAsia="zh-CN"/>
        </w:rPr>
        <w:t>3141.92</w:t>
      </w:r>
      <w:r>
        <w:rPr>
          <w:rFonts w:hint="eastAsia" w:ascii="仿宋" w:hAnsi="仿宋" w:eastAsia="仿宋" w:cs="仿宋"/>
          <w:sz w:val="32"/>
          <w:szCs w:val="32"/>
          <w:highlight w:val="none"/>
        </w:rPr>
        <w:t xml:space="preserve">万元。 </w:t>
      </w:r>
    </w:p>
    <w:p w14:paraId="07A783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（二）整体支出绩效目标</w:t>
      </w:r>
    </w:p>
    <w:p w14:paraId="4954C2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整体绩效目标：</w:t>
      </w:r>
      <w:r>
        <w:rPr>
          <w:rFonts w:hint="eastAsia" w:ascii="仿宋" w:hAnsi="仿宋" w:eastAsia="仿宋" w:cs="仿宋"/>
          <w:sz w:val="32"/>
          <w:szCs w:val="32"/>
          <w:lang w:eastAsia="zh-CN"/>
        </w:rPr>
        <w:t>依据全市交通发展规划</w:t>
      </w:r>
      <w:r>
        <w:rPr>
          <w:rFonts w:hint="eastAsia" w:ascii="仿宋" w:hAnsi="仿宋" w:eastAsia="仿宋" w:cs="仿宋"/>
          <w:sz w:val="32"/>
          <w:szCs w:val="32"/>
        </w:rPr>
        <w:t>编制全市公路发展规划；负责辖区内国省干线公路的建设、养护和管理；负责市立项的公路建设项目的工程设计、施工和质量安全；</w:t>
      </w:r>
      <w:r>
        <w:rPr>
          <w:rFonts w:hint="eastAsia" w:ascii="仿宋" w:hAnsi="仿宋" w:eastAsia="仿宋" w:cs="仿宋"/>
          <w:sz w:val="32"/>
          <w:szCs w:val="32"/>
          <w:lang w:eastAsia="zh-CN"/>
        </w:rPr>
        <w:t>负责益桃一级公路超限超载治理，负责查处重大或跨区域路政案件，</w:t>
      </w:r>
      <w:r>
        <w:rPr>
          <w:rFonts w:hint="eastAsia" w:ascii="仿宋" w:hAnsi="仿宋" w:eastAsia="仿宋" w:cs="仿宋"/>
          <w:sz w:val="32"/>
          <w:szCs w:val="32"/>
        </w:rPr>
        <w:t>负责公路路政与超限超载治理的执法监督；组织、指导公路重大灾害应急抢险；负责全市公路养护工作的指导、监督、检查与考核工作；负责引导、推广公路建设、管理、养护的新技术、新工艺、新材料、新设备的应用等。</w:t>
      </w:r>
    </w:p>
    <w:p w14:paraId="778711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预决算公开</w:t>
      </w:r>
      <w:r>
        <w:rPr>
          <w:rFonts w:hint="eastAsia" w:ascii="仿宋" w:hAnsi="仿宋" w:eastAsia="仿宋" w:cs="仿宋"/>
          <w:b/>
          <w:sz w:val="32"/>
          <w:szCs w:val="32"/>
        </w:rPr>
        <w:t>：</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按照上</w:t>
      </w:r>
      <w:r>
        <w:rPr>
          <w:rFonts w:hint="eastAsia" w:ascii="仿宋" w:hAnsi="仿宋" w:eastAsia="仿宋" w:cs="仿宋"/>
          <w:sz w:val="32"/>
          <w:szCs w:val="32"/>
        </w:rPr>
        <w:t>级的要求，益阳市公路管理局在益阳市财政局门户网站上及时、准确地进行了预决算公开。</w:t>
      </w:r>
    </w:p>
    <w:p w14:paraId="67C70A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资产管理：为进一步加强资产的管理，益阳市公路管理局制定了《 益阳市公路管理局财务管理制度（试行）》《 益阳市公路管理局机关后勤管理制度》等，明确了具体责任人，对资产登记、</w:t>
      </w:r>
      <w:r>
        <w:rPr>
          <w:rFonts w:hint="eastAsia" w:ascii="仿宋" w:hAnsi="仿宋" w:eastAsia="仿宋" w:cs="仿宋"/>
          <w:color w:val="auto"/>
          <w:sz w:val="32"/>
          <w:szCs w:val="32"/>
        </w:rPr>
        <w:t>领用、销审等手续做了相关规定。</w:t>
      </w:r>
      <w:r>
        <w:rPr>
          <w:rFonts w:hint="eastAsia" w:ascii="仿宋" w:hAnsi="仿宋" w:eastAsia="仿宋" w:cs="仿宋"/>
          <w:color w:val="auto"/>
          <w:sz w:val="32"/>
          <w:szCs w:val="32"/>
          <w:lang w:val="en-US" w:eastAsia="zh-CN"/>
        </w:rPr>
        <w:t>2019年度，进一步完善了固定资产台帐，并按市财政局要求，对涉改资产进行全面清查，处理。</w:t>
      </w:r>
    </w:p>
    <w:p w14:paraId="415E7E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rPr>
        <w:t>“三公经费”控制</w:t>
      </w:r>
      <w:r>
        <w:rPr>
          <w:rFonts w:hint="eastAsia" w:ascii="仿宋" w:hAnsi="仿宋" w:eastAsia="仿宋" w:cs="仿宋"/>
          <w:sz w:val="32"/>
          <w:szCs w:val="32"/>
        </w:rPr>
        <w:t>情况：为贯彻落实上级有关精神，严格控制“三公经费”支出，市公路管理局制定了《益阳市公路管理局公务用车使用管</w:t>
      </w:r>
      <w:r>
        <w:rPr>
          <w:rFonts w:hint="eastAsia" w:ascii="仿宋" w:hAnsi="仿宋" w:eastAsia="仿宋" w:cs="仿宋"/>
          <w:color w:val="auto"/>
          <w:sz w:val="32"/>
          <w:szCs w:val="32"/>
        </w:rPr>
        <w:t>理试行办法》《 益阳市公路管理局公务接待管理实施细则》等，</w:t>
      </w: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年益阳市公路管理局系统“三公经费”</w:t>
      </w:r>
      <w:r>
        <w:rPr>
          <w:rFonts w:hint="eastAsia" w:ascii="仿宋" w:hAnsi="仿宋" w:eastAsia="仿宋" w:cs="仿宋"/>
          <w:color w:val="auto"/>
          <w:sz w:val="32"/>
          <w:szCs w:val="32"/>
          <w:highlight w:val="none"/>
          <w:lang w:val="en-US" w:eastAsia="zh-CN"/>
        </w:rPr>
        <w:t>47.38</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2018</w:t>
      </w:r>
      <w:r>
        <w:rPr>
          <w:rFonts w:hint="eastAsia" w:ascii="仿宋" w:hAnsi="仿宋" w:eastAsia="仿宋" w:cs="仿宋"/>
          <w:color w:val="auto"/>
          <w:sz w:val="32"/>
          <w:szCs w:val="32"/>
          <w:highlight w:val="none"/>
        </w:rPr>
        <w:t>年同比</w:t>
      </w:r>
      <w:r>
        <w:rPr>
          <w:rFonts w:hint="eastAsia" w:ascii="仿宋" w:hAnsi="仿宋" w:eastAsia="仿宋" w:cs="仿宋"/>
          <w:color w:val="auto"/>
          <w:sz w:val="32"/>
          <w:szCs w:val="32"/>
          <w:highlight w:val="none"/>
          <w:lang w:eastAsia="zh-CN"/>
        </w:rPr>
        <w:t>上升</w:t>
      </w:r>
      <w:r>
        <w:rPr>
          <w:rFonts w:hint="eastAsia" w:ascii="仿宋" w:hAnsi="仿宋" w:eastAsia="仿宋" w:cs="仿宋"/>
          <w:color w:val="auto"/>
          <w:sz w:val="32"/>
          <w:szCs w:val="32"/>
          <w:highlight w:val="none"/>
          <w:lang w:val="en-US" w:eastAsia="zh-CN"/>
        </w:rPr>
        <w:t>7.68</w:t>
      </w:r>
      <w:r>
        <w:rPr>
          <w:rFonts w:hint="eastAsia" w:ascii="仿宋" w:hAnsi="仿宋" w:eastAsia="仿宋" w:cs="仿宋"/>
          <w:color w:val="auto"/>
          <w:sz w:val="32"/>
          <w:szCs w:val="32"/>
          <w:highlight w:val="none"/>
        </w:rPr>
        <w:t>%。其中：</w:t>
      </w: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年公务车辆运行经费</w:t>
      </w:r>
      <w:r>
        <w:rPr>
          <w:rFonts w:hint="eastAsia" w:ascii="仿宋" w:hAnsi="仿宋" w:eastAsia="仿宋" w:cs="仿宋"/>
          <w:color w:val="auto"/>
          <w:sz w:val="32"/>
          <w:szCs w:val="32"/>
          <w:highlight w:val="none"/>
          <w:lang w:val="en-US" w:eastAsia="zh-CN"/>
        </w:rPr>
        <w:t>35.13</w:t>
      </w:r>
      <w:r>
        <w:rPr>
          <w:rFonts w:hint="eastAsia" w:ascii="仿宋" w:hAnsi="仿宋" w:eastAsia="仿宋" w:cs="仿宋"/>
          <w:color w:val="auto"/>
          <w:sz w:val="32"/>
          <w:szCs w:val="32"/>
          <w:highlight w:val="none"/>
        </w:rPr>
        <w:t>万元，同比</w:t>
      </w:r>
      <w:r>
        <w:rPr>
          <w:rFonts w:hint="eastAsia" w:ascii="仿宋" w:hAnsi="仿宋" w:eastAsia="仿宋" w:cs="仿宋"/>
          <w:color w:val="auto"/>
          <w:sz w:val="32"/>
          <w:szCs w:val="32"/>
          <w:highlight w:val="none"/>
          <w:lang w:eastAsia="zh-CN"/>
        </w:rPr>
        <w:t>上升</w:t>
      </w:r>
      <w:r>
        <w:rPr>
          <w:rFonts w:hint="eastAsia" w:ascii="仿宋" w:hAnsi="仿宋" w:eastAsia="仿宋" w:cs="仿宋"/>
          <w:color w:val="auto"/>
          <w:sz w:val="32"/>
          <w:szCs w:val="32"/>
          <w:highlight w:val="none"/>
          <w:lang w:val="en-US" w:eastAsia="zh-CN"/>
        </w:rPr>
        <w:t>31.01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（由于</w:t>
      </w:r>
      <w:r>
        <w:rPr>
          <w:rFonts w:hint="eastAsia" w:ascii="仿宋" w:hAnsi="仿宋" w:eastAsia="仿宋" w:cs="仿宋"/>
          <w:color w:val="auto"/>
          <w:sz w:val="32"/>
          <w:szCs w:val="32"/>
          <w:highlight w:val="none"/>
          <w:lang w:val="en-US" w:eastAsia="zh-CN"/>
        </w:rPr>
        <w:t>市谢林港车辆检测站未编报2018年公务用车运行维护费的预、决算，因此无数据。2019年，市谢林港</w:t>
      </w:r>
      <w:r>
        <w:rPr>
          <w:rFonts w:hint="eastAsia" w:ascii="仿宋" w:hAnsi="仿宋" w:eastAsia="仿宋" w:cs="仿宋"/>
          <w:sz w:val="32"/>
          <w:szCs w:val="32"/>
          <w:highlight w:val="none"/>
          <w:lang w:val="en-US" w:eastAsia="zh-CN"/>
        </w:rPr>
        <w:t>车辆检测站公务用车运行维护费预算14万元，年度实际发生数7.67万元。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6.86</w:t>
      </w:r>
      <w:r>
        <w:rPr>
          <w:rFonts w:hint="eastAsia" w:ascii="仿宋" w:hAnsi="仿宋" w:eastAsia="仿宋" w:cs="仿宋"/>
          <w:sz w:val="32"/>
          <w:szCs w:val="32"/>
          <w:highlight w:val="none"/>
        </w:rPr>
        <w:t>万元，同比下降</w:t>
      </w:r>
      <w:r>
        <w:rPr>
          <w:rFonts w:hint="eastAsia" w:ascii="仿宋" w:hAnsi="仿宋" w:eastAsia="仿宋" w:cs="仿宋"/>
          <w:sz w:val="32"/>
          <w:szCs w:val="32"/>
          <w:highlight w:val="none"/>
          <w:lang w:val="en-US" w:eastAsia="zh-CN"/>
        </w:rPr>
        <w:t>43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年因公出国（境）费</w:t>
      </w:r>
      <w:r>
        <w:rPr>
          <w:rFonts w:hint="eastAsia" w:ascii="仿宋" w:hAnsi="仿宋" w:eastAsia="仿宋" w:cs="仿宋"/>
          <w:sz w:val="32"/>
          <w:szCs w:val="32"/>
          <w:highlight w:val="none"/>
          <w:lang w:val="en-US" w:eastAsia="zh-CN"/>
        </w:rPr>
        <w:t>5.39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，同比上升</w:t>
      </w:r>
      <w:r>
        <w:rPr>
          <w:rFonts w:hint="eastAsia" w:ascii="仿宋" w:hAnsi="仿宋" w:eastAsia="仿宋" w:cs="仿宋"/>
          <w:sz w:val="32"/>
          <w:szCs w:val="32"/>
          <w:highlight w:val="none"/>
          <w:lang w:val="en-US" w:eastAsia="zh-CN"/>
        </w:rPr>
        <w:t>4.58%。</w:t>
      </w:r>
    </w:p>
    <w:p w14:paraId="7CD5B059">
      <w:pPr>
        <w:keepNext w:val="0"/>
        <w:keepLines w:val="0"/>
        <w:pageBreakBefore w:val="0"/>
        <w:kinsoku/>
        <w:wordWrap/>
        <w:overflowPunct/>
        <w:autoSpaceDE/>
        <w:autoSpaceDN/>
        <w:bidi w:val="0"/>
        <w:adjustRightInd/>
        <w:snapToGrid/>
        <w:spacing w:line="600" w:lineRule="exact"/>
        <w:ind w:firstLine="1606" w:firstLineChars="500"/>
        <w:rPr>
          <w:rFonts w:hint="eastAsia" w:ascii="仿宋" w:hAnsi="仿宋" w:eastAsia="仿宋" w:cs="仿宋"/>
          <w:sz w:val="32"/>
          <w:szCs w:val="32"/>
        </w:rPr>
      </w:pPr>
      <w:r>
        <w:rPr>
          <w:rFonts w:hint="eastAsia" w:ascii="仿宋" w:hAnsi="仿宋" w:eastAsia="仿宋" w:cs="仿宋"/>
          <w:b/>
          <w:sz w:val="32"/>
          <w:szCs w:val="32"/>
          <w:lang w:eastAsia="zh-CN"/>
        </w:rPr>
        <w:t>2019</w:t>
      </w:r>
      <w:r>
        <w:rPr>
          <w:rFonts w:hint="eastAsia" w:ascii="仿宋" w:hAnsi="仿宋" w:eastAsia="仿宋" w:cs="仿宋"/>
          <w:b/>
          <w:sz w:val="32"/>
          <w:szCs w:val="32"/>
        </w:rPr>
        <w:t>年度部门 “三公”经费情况（万元）</w:t>
      </w:r>
    </w:p>
    <w:tbl>
      <w:tblPr>
        <w:tblStyle w:val="4"/>
        <w:tblW w:w="8250" w:type="dxa"/>
        <w:jc w:val="center"/>
        <w:tblLayout w:type="fixed"/>
        <w:tblCellMar>
          <w:top w:w="0" w:type="dxa"/>
          <w:left w:w="108" w:type="dxa"/>
          <w:bottom w:w="0" w:type="dxa"/>
          <w:right w:w="108" w:type="dxa"/>
        </w:tblCellMar>
      </w:tblPr>
      <w:tblGrid>
        <w:gridCol w:w="1687"/>
        <w:gridCol w:w="1395"/>
        <w:gridCol w:w="1335"/>
        <w:gridCol w:w="975"/>
        <w:gridCol w:w="1590"/>
        <w:gridCol w:w="1268"/>
      </w:tblGrid>
      <w:tr w14:paraId="0CC98C0B">
        <w:tblPrEx>
          <w:tblCellMar>
            <w:top w:w="0" w:type="dxa"/>
            <w:left w:w="108" w:type="dxa"/>
            <w:bottom w:w="0" w:type="dxa"/>
            <w:right w:w="108" w:type="dxa"/>
          </w:tblCellMar>
        </w:tblPrEx>
        <w:trPr>
          <w:trHeight w:val="375"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14:paraId="7FA37E40">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w:t>
            </w:r>
          </w:p>
        </w:tc>
        <w:tc>
          <w:tcPr>
            <w:tcW w:w="1395" w:type="dxa"/>
            <w:tcBorders>
              <w:top w:val="single" w:color="auto" w:sz="8" w:space="0"/>
              <w:left w:val="single" w:color="auto" w:sz="8" w:space="0"/>
              <w:bottom w:val="single" w:color="auto" w:sz="8" w:space="0"/>
              <w:right w:val="single" w:color="auto" w:sz="8" w:space="0"/>
            </w:tcBorders>
            <w:noWrap w:val="0"/>
            <w:vAlign w:val="center"/>
          </w:tcPr>
          <w:p w14:paraId="66D51A8B">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2019</w:t>
            </w:r>
            <w:r>
              <w:rPr>
                <w:rFonts w:hint="eastAsia" w:ascii="仿宋" w:hAnsi="仿宋" w:eastAsia="仿宋" w:cs="仿宋"/>
                <w:color w:val="auto"/>
                <w:kern w:val="0"/>
                <w:sz w:val="24"/>
                <w:szCs w:val="24"/>
              </w:rPr>
              <w:t>年决算数</w:t>
            </w:r>
          </w:p>
        </w:tc>
        <w:tc>
          <w:tcPr>
            <w:tcW w:w="1335" w:type="dxa"/>
            <w:tcBorders>
              <w:top w:val="single" w:color="auto" w:sz="8" w:space="0"/>
              <w:left w:val="single" w:color="auto" w:sz="8" w:space="0"/>
              <w:bottom w:val="single" w:color="auto" w:sz="8" w:space="0"/>
              <w:right w:val="single" w:color="auto" w:sz="8" w:space="0"/>
            </w:tcBorders>
            <w:noWrap w:val="0"/>
            <w:vAlign w:val="center"/>
          </w:tcPr>
          <w:p w14:paraId="7E11DAF1">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2019</w:t>
            </w:r>
            <w:r>
              <w:rPr>
                <w:rFonts w:hint="eastAsia" w:ascii="仿宋" w:hAnsi="仿宋" w:eastAsia="仿宋" w:cs="仿宋"/>
                <w:color w:val="auto"/>
                <w:kern w:val="0"/>
                <w:sz w:val="24"/>
                <w:szCs w:val="24"/>
              </w:rPr>
              <w:t>年预算数</w:t>
            </w:r>
          </w:p>
        </w:tc>
        <w:tc>
          <w:tcPr>
            <w:tcW w:w="975" w:type="dxa"/>
            <w:tcBorders>
              <w:top w:val="single" w:color="auto" w:sz="8" w:space="0"/>
              <w:left w:val="single" w:color="auto" w:sz="8" w:space="0"/>
              <w:bottom w:val="single" w:color="auto" w:sz="8" w:space="0"/>
              <w:right w:val="single" w:color="auto" w:sz="8" w:space="0"/>
            </w:tcBorders>
            <w:noWrap w:val="0"/>
            <w:vAlign w:val="center"/>
          </w:tcPr>
          <w:p w14:paraId="190C597A">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比预算增减数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w:t>
            </w:r>
          </w:p>
        </w:tc>
        <w:tc>
          <w:tcPr>
            <w:tcW w:w="1590" w:type="dxa"/>
            <w:tcBorders>
              <w:top w:val="single" w:color="auto" w:sz="8" w:space="0"/>
              <w:left w:val="single" w:color="auto" w:sz="8" w:space="0"/>
              <w:bottom w:val="single" w:color="auto" w:sz="8" w:space="0"/>
              <w:right w:val="single" w:color="auto" w:sz="8" w:space="0"/>
            </w:tcBorders>
            <w:noWrap w:val="0"/>
            <w:vAlign w:val="center"/>
          </w:tcPr>
          <w:p w14:paraId="3CEC9D4B">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2018</w:t>
            </w:r>
            <w:r>
              <w:rPr>
                <w:rFonts w:hint="eastAsia" w:ascii="仿宋" w:hAnsi="仿宋" w:eastAsia="仿宋" w:cs="仿宋"/>
                <w:color w:val="auto"/>
                <w:kern w:val="0"/>
                <w:sz w:val="24"/>
                <w:szCs w:val="24"/>
              </w:rPr>
              <w:t>年决算数</w:t>
            </w:r>
          </w:p>
        </w:tc>
        <w:tc>
          <w:tcPr>
            <w:tcW w:w="1268" w:type="dxa"/>
            <w:tcBorders>
              <w:top w:val="single" w:color="auto" w:sz="8" w:space="0"/>
              <w:left w:val="single" w:color="auto" w:sz="8" w:space="0"/>
              <w:bottom w:val="single" w:color="auto" w:sz="8" w:space="0"/>
              <w:right w:val="single" w:color="auto" w:sz="8" w:space="0"/>
            </w:tcBorders>
            <w:noWrap w:val="0"/>
            <w:vAlign w:val="center"/>
          </w:tcPr>
          <w:p w14:paraId="621423DA">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比上年增减数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w:t>
            </w:r>
          </w:p>
        </w:tc>
      </w:tr>
      <w:tr w14:paraId="7CA78266">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14:paraId="4CF58599">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公务接待费</w:t>
            </w:r>
          </w:p>
        </w:tc>
        <w:tc>
          <w:tcPr>
            <w:tcW w:w="1395" w:type="dxa"/>
            <w:tcBorders>
              <w:top w:val="single" w:color="auto" w:sz="8" w:space="0"/>
              <w:left w:val="single" w:color="auto" w:sz="8" w:space="0"/>
              <w:bottom w:val="single" w:color="auto" w:sz="8" w:space="0"/>
              <w:right w:val="single" w:color="auto" w:sz="8" w:space="0"/>
            </w:tcBorders>
            <w:noWrap w:val="0"/>
            <w:vAlign w:val="center"/>
          </w:tcPr>
          <w:p w14:paraId="3DB59DF7">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6.86</w:t>
            </w:r>
          </w:p>
        </w:tc>
        <w:tc>
          <w:tcPr>
            <w:tcW w:w="1335" w:type="dxa"/>
            <w:tcBorders>
              <w:top w:val="single" w:color="auto" w:sz="8" w:space="0"/>
              <w:left w:val="single" w:color="auto" w:sz="8" w:space="0"/>
              <w:bottom w:val="single" w:color="auto" w:sz="8" w:space="0"/>
              <w:right w:val="single" w:color="auto" w:sz="8" w:space="0"/>
            </w:tcBorders>
            <w:noWrap w:val="0"/>
            <w:vAlign w:val="center"/>
          </w:tcPr>
          <w:p w14:paraId="2E0F84FC">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62.00</w:t>
            </w:r>
          </w:p>
        </w:tc>
        <w:tc>
          <w:tcPr>
            <w:tcW w:w="975" w:type="dxa"/>
            <w:tcBorders>
              <w:top w:val="single" w:color="auto" w:sz="8" w:space="0"/>
              <w:left w:val="single" w:color="auto" w:sz="8" w:space="0"/>
              <w:bottom w:val="single" w:color="auto" w:sz="8" w:space="0"/>
              <w:right w:val="single" w:color="auto" w:sz="8" w:space="0"/>
            </w:tcBorders>
            <w:noWrap w:val="0"/>
            <w:vAlign w:val="center"/>
          </w:tcPr>
          <w:p w14:paraId="1B71FC60">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88.94</w:t>
            </w:r>
          </w:p>
        </w:tc>
        <w:tc>
          <w:tcPr>
            <w:tcW w:w="1590" w:type="dxa"/>
            <w:tcBorders>
              <w:top w:val="single" w:color="auto" w:sz="8" w:space="0"/>
              <w:left w:val="single" w:color="auto" w:sz="8" w:space="0"/>
              <w:bottom w:val="single" w:color="auto" w:sz="8" w:space="0"/>
              <w:right w:val="single" w:color="auto" w:sz="8" w:space="0"/>
            </w:tcBorders>
            <w:noWrap w:val="0"/>
            <w:vAlign w:val="center"/>
          </w:tcPr>
          <w:p w14:paraId="559533C2">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12.03</w:t>
            </w:r>
          </w:p>
        </w:tc>
        <w:tc>
          <w:tcPr>
            <w:tcW w:w="1268" w:type="dxa"/>
            <w:tcBorders>
              <w:top w:val="single" w:color="auto" w:sz="8" w:space="0"/>
              <w:left w:val="single" w:color="auto" w:sz="8" w:space="0"/>
              <w:bottom w:val="single" w:color="auto" w:sz="8" w:space="0"/>
              <w:right w:val="single" w:color="auto" w:sz="8" w:space="0"/>
            </w:tcBorders>
            <w:noWrap w:val="0"/>
            <w:vAlign w:val="center"/>
          </w:tcPr>
          <w:p w14:paraId="079DF21C">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43.00</w:t>
            </w:r>
          </w:p>
        </w:tc>
      </w:tr>
      <w:tr w14:paraId="37115E7D">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14:paraId="1C36A903">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公务用车运行及购置</w:t>
            </w:r>
          </w:p>
        </w:tc>
        <w:tc>
          <w:tcPr>
            <w:tcW w:w="1395" w:type="dxa"/>
            <w:tcBorders>
              <w:top w:val="single" w:color="auto" w:sz="8" w:space="0"/>
              <w:left w:val="single" w:color="auto" w:sz="8" w:space="0"/>
              <w:bottom w:val="single" w:color="auto" w:sz="8" w:space="0"/>
              <w:right w:val="single" w:color="auto" w:sz="8" w:space="0"/>
            </w:tcBorders>
            <w:noWrap w:val="0"/>
            <w:vAlign w:val="center"/>
          </w:tcPr>
          <w:p w14:paraId="178F4F9C">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35.13</w:t>
            </w:r>
          </w:p>
        </w:tc>
        <w:tc>
          <w:tcPr>
            <w:tcW w:w="1335" w:type="dxa"/>
            <w:tcBorders>
              <w:top w:val="single" w:color="auto" w:sz="8" w:space="0"/>
              <w:left w:val="single" w:color="auto" w:sz="8" w:space="0"/>
              <w:bottom w:val="single" w:color="auto" w:sz="8" w:space="0"/>
              <w:right w:val="single" w:color="auto" w:sz="8" w:space="0"/>
            </w:tcBorders>
            <w:noWrap w:val="0"/>
            <w:vAlign w:val="center"/>
          </w:tcPr>
          <w:p w14:paraId="4D5B5059">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109.00</w:t>
            </w:r>
          </w:p>
        </w:tc>
        <w:tc>
          <w:tcPr>
            <w:tcW w:w="975" w:type="dxa"/>
            <w:tcBorders>
              <w:top w:val="single" w:color="auto" w:sz="8" w:space="0"/>
              <w:left w:val="single" w:color="auto" w:sz="8" w:space="0"/>
              <w:bottom w:val="single" w:color="auto" w:sz="8" w:space="0"/>
              <w:right w:val="single" w:color="auto" w:sz="8" w:space="0"/>
            </w:tcBorders>
            <w:noWrap w:val="0"/>
            <w:vAlign w:val="center"/>
          </w:tcPr>
          <w:p w14:paraId="70EAC5DB">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67.77</w:t>
            </w:r>
          </w:p>
        </w:tc>
        <w:tc>
          <w:tcPr>
            <w:tcW w:w="1590" w:type="dxa"/>
            <w:tcBorders>
              <w:top w:val="single" w:color="auto" w:sz="8" w:space="0"/>
              <w:left w:val="single" w:color="auto" w:sz="8" w:space="0"/>
              <w:bottom w:val="single" w:color="auto" w:sz="8" w:space="0"/>
              <w:right w:val="single" w:color="auto" w:sz="8" w:space="0"/>
            </w:tcBorders>
            <w:noWrap w:val="0"/>
            <w:vAlign w:val="center"/>
          </w:tcPr>
          <w:p w14:paraId="60479914">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26.81</w:t>
            </w:r>
          </w:p>
        </w:tc>
        <w:tc>
          <w:tcPr>
            <w:tcW w:w="1268" w:type="dxa"/>
            <w:tcBorders>
              <w:top w:val="single" w:color="auto" w:sz="8" w:space="0"/>
              <w:left w:val="single" w:color="auto" w:sz="8" w:space="0"/>
              <w:bottom w:val="single" w:color="auto" w:sz="8" w:space="0"/>
              <w:right w:val="single" w:color="auto" w:sz="8" w:space="0"/>
            </w:tcBorders>
            <w:noWrap w:val="0"/>
            <w:vAlign w:val="center"/>
          </w:tcPr>
          <w:p w14:paraId="5F8CAC10">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31.01</w:t>
            </w:r>
          </w:p>
        </w:tc>
      </w:tr>
      <w:tr w14:paraId="283ED953">
        <w:tblPrEx>
          <w:tblCellMar>
            <w:top w:w="0" w:type="dxa"/>
            <w:left w:w="108" w:type="dxa"/>
            <w:bottom w:w="0" w:type="dxa"/>
            <w:right w:w="108" w:type="dxa"/>
          </w:tblCellMar>
        </w:tblPrEx>
        <w:trPr>
          <w:trHeight w:val="9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14:paraId="60648A3E">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因公出国经费</w:t>
            </w:r>
          </w:p>
        </w:tc>
        <w:tc>
          <w:tcPr>
            <w:tcW w:w="1395" w:type="dxa"/>
            <w:tcBorders>
              <w:top w:val="single" w:color="auto" w:sz="8" w:space="0"/>
              <w:left w:val="single" w:color="auto" w:sz="8" w:space="0"/>
              <w:bottom w:val="single" w:color="auto" w:sz="8" w:space="0"/>
              <w:right w:val="single" w:color="auto" w:sz="8" w:space="0"/>
            </w:tcBorders>
            <w:noWrap w:val="0"/>
            <w:vAlign w:val="center"/>
          </w:tcPr>
          <w:p w14:paraId="35B08473">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5.39</w:t>
            </w:r>
          </w:p>
        </w:tc>
        <w:tc>
          <w:tcPr>
            <w:tcW w:w="1335" w:type="dxa"/>
            <w:tcBorders>
              <w:top w:val="single" w:color="auto" w:sz="8" w:space="0"/>
              <w:left w:val="single" w:color="auto" w:sz="8" w:space="0"/>
              <w:bottom w:val="single" w:color="auto" w:sz="8" w:space="0"/>
              <w:right w:val="single" w:color="auto" w:sz="8" w:space="0"/>
            </w:tcBorders>
            <w:noWrap w:val="0"/>
            <w:vAlign w:val="center"/>
          </w:tcPr>
          <w:p w14:paraId="1CD98E7E">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.00</w:t>
            </w:r>
          </w:p>
        </w:tc>
        <w:tc>
          <w:tcPr>
            <w:tcW w:w="975" w:type="dxa"/>
            <w:tcBorders>
              <w:top w:val="single" w:color="auto" w:sz="8" w:space="0"/>
              <w:left w:val="single" w:color="auto" w:sz="8" w:space="0"/>
              <w:bottom w:val="single" w:color="auto" w:sz="8" w:space="0"/>
              <w:right w:val="single" w:color="auto" w:sz="8" w:space="0"/>
            </w:tcBorders>
            <w:noWrap w:val="0"/>
            <w:vAlign w:val="center"/>
          </w:tcPr>
          <w:p w14:paraId="68F15D44">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w:t>
            </w:r>
          </w:p>
        </w:tc>
        <w:tc>
          <w:tcPr>
            <w:tcW w:w="1590" w:type="dxa"/>
            <w:tcBorders>
              <w:top w:val="single" w:color="auto" w:sz="8" w:space="0"/>
              <w:left w:val="single" w:color="auto" w:sz="8" w:space="0"/>
              <w:bottom w:val="single" w:color="auto" w:sz="8" w:space="0"/>
              <w:right w:val="single" w:color="auto" w:sz="8" w:space="0"/>
            </w:tcBorders>
            <w:noWrap w:val="0"/>
            <w:vAlign w:val="center"/>
          </w:tcPr>
          <w:p w14:paraId="28A8D865">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5.16</w:t>
            </w:r>
          </w:p>
        </w:tc>
        <w:tc>
          <w:tcPr>
            <w:tcW w:w="1268" w:type="dxa"/>
            <w:tcBorders>
              <w:top w:val="single" w:color="auto" w:sz="8" w:space="0"/>
              <w:left w:val="single" w:color="auto" w:sz="8" w:space="0"/>
              <w:bottom w:val="single" w:color="auto" w:sz="8" w:space="0"/>
              <w:right w:val="single" w:color="auto" w:sz="8" w:space="0"/>
            </w:tcBorders>
            <w:noWrap w:val="0"/>
            <w:vAlign w:val="center"/>
          </w:tcPr>
          <w:p w14:paraId="10E827B3">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4.58</w:t>
            </w:r>
          </w:p>
        </w:tc>
      </w:tr>
      <w:tr w14:paraId="73193531">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14:paraId="2492882E">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合计</w:t>
            </w:r>
          </w:p>
        </w:tc>
        <w:tc>
          <w:tcPr>
            <w:tcW w:w="1395" w:type="dxa"/>
            <w:tcBorders>
              <w:top w:val="single" w:color="auto" w:sz="8" w:space="0"/>
              <w:left w:val="single" w:color="auto" w:sz="8" w:space="0"/>
              <w:bottom w:val="single" w:color="auto" w:sz="8" w:space="0"/>
              <w:right w:val="single" w:color="auto" w:sz="8" w:space="0"/>
            </w:tcBorders>
            <w:noWrap w:val="0"/>
            <w:vAlign w:val="center"/>
          </w:tcPr>
          <w:p w14:paraId="01C52D5F">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fldChar w:fldCharType="begin"/>
            </w:r>
            <w:r>
              <w:rPr>
                <w:rFonts w:hint="eastAsia" w:ascii="仿宋" w:hAnsi="仿宋" w:eastAsia="仿宋" w:cs="仿宋"/>
                <w:b/>
                <w:bCs/>
                <w:color w:val="auto"/>
                <w:kern w:val="0"/>
                <w:sz w:val="24"/>
                <w:szCs w:val="24"/>
                <w:highlight w:val="none"/>
              </w:rPr>
              <w:instrText xml:space="preserve"> = sum(B2:B4) \* MERGEFORMAT </w:instrText>
            </w:r>
            <w:r>
              <w:rPr>
                <w:rFonts w:hint="eastAsia" w:ascii="仿宋" w:hAnsi="仿宋" w:eastAsia="仿宋" w:cs="仿宋"/>
                <w:b/>
                <w:bCs/>
                <w:color w:val="auto"/>
                <w:kern w:val="0"/>
                <w:sz w:val="24"/>
                <w:szCs w:val="24"/>
                <w:highlight w:val="none"/>
              </w:rPr>
              <w:fldChar w:fldCharType="separate"/>
            </w:r>
            <w:r>
              <w:rPr>
                <w:rFonts w:hint="eastAsia" w:ascii="仿宋" w:hAnsi="仿宋" w:eastAsia="仿宋" w:cs="仿宋"/>
                <w:b/>
                <w:bCs/>
                <w:color w:val="auto"/>
                <w:kern w:val="0"/>
                <w:sz w:val="24"/>
                <w:szCs w:val="24"/>
                <w:highlight w:val="none"/>
              </w:rPr>
              <w:t>47.38</w:t>
            </w:r>
            <w:r>
              <w:rPr>
                <w:rFonts w:hint="eastAsia" w:ascii="仿宋" w:hAnsi="仿宋" w:eastAsia="仿宋" w:cs="仿宋"/>
                <w:b/>
                <w:bCs/>
                <w:color w:val="auto"/>
                <w:kern w:val="0"/>
                <w:sz w:val="24"/>
                <w:szCs w:val="24"/>
                <w:highlight w:val="none"/>
              </w:rPr>
              <w:fldChar w:fldCharType="end"/>
            </w:r>
          </w:p>
        </w:tc>
        <w:tc>
          <w:tcPr>
            <w:tcW w:w="1335" w:type="dxa"/>
            <w:tcBorders>
              <w:top w:val="single" w:color="auto" w:sz="8" w:space="0"/>
              <w:left w:val="single" w:color="auto" w:sz="8" w:space="0"/>
              <w:bottom w:val="single" w:color="auto" w:sz="8" w:space="0"/>
              <w:right w:val="single" w:color="auto" w:sz="8" w:space="0"/>
            </w:tcBorders>
            <w:noWrap w:val="0"/>
            <w:vAlign w:val="center"/>
          </w:tcPr>
          <w:p w14:paraId="7560CBFE">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171.00</w:t>
            </w:r>
          </w:p>
        </w:tc>
        <w:tc>
          <w:tcPr>
            <w:tcW w:w="975" w:type="dxa"/>
            <w:tcBorders>
              <w:top w:val="single" w:color="auto" w:sz="8" w:space="0"/>
              <w:left w:val="single" w:color="auto" w:sz="8" w:space="0"/>
              <w:bottom w:val="single" w:color="auto" w:sz="8" w:space="0"/>
              <w:right w:val="single" w:color="auto" w:sz="8" w:space="0"/>
            </w:tcBorders>
            <w:noWrap w:val="0"/>
            <w:vAlign w:val="center"/>
          </w:tcPr>
          <w:p w14:paraId="0941BF78">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-72.29</w:t>
            </w:r>
          </w:p>
        </w:tc>
        <w:tc>
          <w:tcPr>
            <w:tcW w:w="1590" w:type="dxa"/>
            <w:tcBorders>
              <w:top w:val="single" w:color="auto" w:sz="8" w:space="0"/>
              <w:left w:val="single" w:color="auto" w:sz="8" w:space="0"/>
              <w:bottom w:val="single" w:color="auto" w:sz="8" w:space="0"/>
              <w:right w:val="single" w:color="auto" w:sz="8" w:space="0"/>
            </w:tcBorders>
            <w:noWrap w:val="0"/>
            <w:vAlign w:val="center"/>
          </w:tcPr>
          <w:p w14:paraId="735F21DE">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fldChar w:fldCharType="begin"/>
            </w:r>
            <w:r>
              <w:rPr>
                <w:rFonts w:hint="eastAsia" w:ascii="仿宋" w:hAnsi="仿宋" w:eastAsia="仿宋" w:cs="仿宋"/>
                <w:b/>
                <w:bCs/>
                <w:color w:val="auto"/>
                <w:kern w:val="0"/>
                <w:sz w:val="24"/>
                <w:szCs w:val="24"/>
                <w:highlight w:val="none"/>
              </w:rPr>
              <w:instrText xml:space="preserve"> = sum(E2:E4) \* MERGEFORMAT </w:instrText>
            </w:r>
            <w:r>
              <w:rPr>
                <w:rFonts w:hint="eastAsia" w:ascii="仿宋" w:hAnsi="仿宋" w:eastAsia="仿宋" w:cs="仿宋"/>
                <w:b/>
                <w:bCs/>
                <w:color w:val="auto"/>
                <w:kern w:val="0"/>
                <w:sz w:val="24"/>
                <w:szCs w:val="24"/>
                <w:highlight w:val="none"/>
              </w:rPr>
              <w:fldChar w:fldCharType="separate"/>
            </w:r>
            <w:r>
              <w:rPr>
                <w:rFonts w:hint="eastAsia" w:ascii="仿宋" w:hAnsi="仿宋" w:eastAsia="仿宋" w:cs="仿宋"/>
                <w:b/>
                <w:bCs/>
                <w:color w:val="auto"/>
                <w:kern w:val="0"/>
                <w:sz w:val="24"/>
                <w:szCs w:val="24"/>
                <w:highlight w:val="none"/>
              </w:rPr>
              <w:t>44</w:t>
            </w:r>
            <w:r>
              <w:rPr>
                <w:rFonts w:hint="eastAsia" w:ascii="仿宋" w:hAnsi="仿宋" w:eastAsia="仿宋" w:cs="仿宋"/>
                <w:b/>
                <w:bCs/>
                <w:color w:val="auto"/>
                <w:kern w:val="0"/>
                <w:sz w:val="24"/>
                <w:szCs w:val="24"/>
                <w:highlight w:val="none"/>
              </w:rPr>
              <w:fldChar w:fldCharType="end"/>
            </w:r>
            <w:r>
              <w:rPr>
                <w:rFonts w:hint="eastAsia" w:ascii="仿宋" w:hAnsi="仿宋" w:eastAsia="仿宋" w:cs="仿宋"/>
                <w:b/>
                <w:bCs/>
                <w:color w:val="auto"/>
                <w:kern w:val="0"/>
                <w:sz w:val="24"/>
                <w:szCs w:val="24"/>
                <w:highlight w:val="none"/>
                <w:lang w:val="en-US" w:eastAsia="zh-CN"/>
              </w:rPr>
              <w:t>.00</w:t>
            </w:r>
          </w:p>
        </w:tc>
        <w:tc>
          <w:tcPr>
            <w:tcW w:w="1268" w:type="dxa"/>
            <w:tcBorders>
              <w:top w:val="single" w:color="auto" w:sz="8" w:space="0"/>
              <w:left w:val="single" w:color="auto" w:sz="8" w:space="0"/>
              <w:bottom w:val="single" w:color="auto" w:sz="8" w:space="0"/>
              <w:right w:val="single" w:color="auto" w:sz="8" w:space="0"/>
            </w:tcBorders>
            <w:noWrap w:val="0"/>
            <w:vAlign w:val="center"/>
          </w:tcPr>
          <w:p w14:paraId="18B3C0F8">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7.68</w:t>
            </w:r>
          </w:p>
        </w:tc>
      </w:tr>
    </w:tbl>
    <w:p w14:paraId="60B282A4">
      <w:pPr>
        <w:keepNext w:val="0"/>
        <w:keepLines w:val="0"/>
        <w:pageBreakBefore w:val="0"/>
        <w:kinsoku/>
        <w:wordWrap/>
        <w:overflowPunct/>
        <w:autoSpaceDE/>
        <w:autoSpaceDN/>
        <w:bidi w:val="0"/>
        <w:adjustRightInd/>
        <w:snapToGrid/>
        <w:spacing w:line="600" w:lineRule="exact"/>
        <w:ind w:firstLine="480" w:firstLineChars="200"/>
        <w:rPr>
          <w:rFonts w:hint="eastAsia" w:ascii="仿宋" w:hAnsi="仿宋" w:eastAsia="仿宋" w:cs="仿宋"/>
          <w:sz w:val="32"/>
          <w:szCs w:val="32"/>
        </w:rPr>
      </w:pPr>
      <w:r>
        <w:rPr>
          <w:rFonts w:hint="eastAsia" w:ascii="仿宋" w:hAnsi="仿宋" w:eastAsia="仿宋" w:cs="仿宋"/>
          <w:color w:val="auto"/>
          <w:sz w:val="24"/>
          <w:szCs w:val="24"/>
        </w:rPr>
        <w:t>内部管理制度建设情况：近年来，益阳市公路管理</w:t>
      </w:r>
      <w:r>
        <w:rPr>
          <w:rFonts w:hint="eastAsia" w:ascii="仿宋" w:hAnsi="仿宋" w:eastAsia="仿宋" w:cs="仿宋"/>
          <w:color w:val="auto"/>
          <w:sz w:val="32"/>
          <w:szCs w:val="32"/>
        </w:rPr>
        <w:t>局由办公室组织编写了一系列内部管理制度。有《益阳市公路管</w:t>
      </w:r>
      <w:r>
        <w:rPr>
          <w:rFonts w:hint="eastAsia" w:ascii="仿宋" w:hAnsi="仿宋" w:eastAsia="仿宋" w:cs="仿宋"/>
          <w:sz w:val="32"/>
          <w:szCs w:val="32"/>
        </w:rPr>
        <w:t>理局党委实施重大事项决策民主化的规定》《益阳市公路管理局机关工作人员守则》《 益阳市公路管理局局务会议制度》《 益阳市公路管理局财务管理制度（试行）》《益阳市公路管理局机关财务管理办法》《 益阳市公路管理局内部审计管理制度》《益阳市公路管理局公务用车使用管理试行办法》《 益阳市公路管理局机关后勤管理制度》《 益阳市公路管理局公务接待接待管理实施细则》《益阳市公路管理局机关工作人员出差管理办法》等。</w:t>
      </w:r>
    </w:p>
    <w:p w14:paraId="08824B7E">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整体绩效总目标完成情况：</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年，全市公路系统紧紧围绕年度目标任务，积极参与交通大会战，</w:t>
      </w:r>
      <w:r>
        <w:rPr>
          <w:rFonts w:hint="eastAsia" w:ascii="仿宋" w:hAnsi="仿宋" w:eastAsia="仿宋" w:cs="仿宋"/>
          <w:sz w:val="32"/>
          <w:szCs w:val="32"/>
          <w:highlight w:val="none"/>
          <w:lang w:eastAsia="zh-CN"/>
        </w:rPr>
        <w:t>按照全面实施的三大工程，切实加强三大养护，强力推进治超工作，扎实推进农村公路建设管养工作，持续提升安全生产水平，全面加强党的建设的工作部署，主动作为，扎实工作，</w:t>
      </w:r>
      <w:r>
        <w:rPr>
          <w:rFonts w:hint="eastAsia" w:ascii="仿宋" w:hAnsi="仿宋" w:eastAsia="仿宋" w:cs="仿宋"/>
          <w:sz w:val="32"/>
          <w:szCs w:val="32"/>
          <w:highlight w:val="none"/>
        </w:rPr>
        <w:t>圆满地完成了各项工作目标任务。</w:t>
      </w:r>
    </w:p>
    <w:p w14:paraId="2FAFEC79">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 w:val="0"/>
          <w:bCs/>
          <w:sz w:val="32"/>
          <w:szCs w:val="32"/>
          <w:highlight w:val="none"/>
          <w:lang w:eastAsia="zh-CN"/>
        </w:rPr>
        <w:t>项目绩效总目标完成情况:我市国省干线公路大中修项目全</w:t>
      </w:r>
      <w:r>
        <w:rPr>
          <w:rFonts w:hint="eastAsia" w:ascii="仿宋" w:hAnsi="仿宋" w:eastAsia="仿宋" w:cs="仿宋"/>
          <w:sz w:val="32"/>
          <w:szCs w:val="32"/>
          <w:highlight w:val="none"/>
          <w:lang w:eastAsia="zh-CN"/>
        </w:rPr>
        <w:t>面完工，市委市政府确定的干线公路建设目标任务，农村公路建管养齐头并进助力农村人居环境整治，超载超限治理、路域环境整治、脱贫攻坚等，均超过完成目标任务。</w:t>
      </w:r>
    </w:p>
    <w:p w14:paraId="3D4E5201">
      <w:pPr>
        <w:keepNext w:val="0"/>
        <w:keepLines w:val="0"/>
        <w:pageBreakBefore w:val="0"/>
        <w:kinsoku/>
        <w:wordWrap/>
        <w:overflowPunct/>
        <w:autoSpaceDE/>
        <w:autoSpaceDN/>
        <w:bidi w:val="0"/>
        <w:adjustRightInd/>
        <w:snapToGrid/>
        <w:spacing w:line="600" w:lineRule="exact"/>
        <w:jc w:val="left"/>
        <w:rPr>
          <w:rFonts w:hint="eastAsia" w:ascii="仿宋" w:hAnsi="仿宋" w:eastAsia="仿宋" w:cs="仿宋"/>
          <w:b/>
          <w:sz w:val="32"/>
          <w:szCs w:val="32"/>
        </w:rPr>
      </w:pPr>
      <w:r>
        <w:rPr>
          <w:rFonts w:hint="eastAsia" w:ascii="仿宋" w:hAnsi="仿宋" w:eastAsia="仿宋" w:cs="仿宋"/>
          <w:b/>
          <w:sz w:val="32"/>
          <w:szCs w:val="32"/>
        </w:rPr>
        <w:t xml:space="preserve">    （三）部门整体支出情况分析</w:t>
      </w:r>
    </w:p>
    <w:p w14:paraId="6B829A27">
      <w:pPr>
        <w:keepNext w:val="0"/>
        <w:keepLines w:val="0"/>
        <w:pageBreakBefore w:val="0"/>
        <w:kinsoku/>
        <w:wordWrap/>
        <w:overflowPunct/>
        <w:topLinePunct/>
        <w:autoSpaceDE/>
        <w:autoSpaceDN/>
        <w:bidi w:val="0"/>
        <w:adjustRightInd/>
        <w:snapToGrid/>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益阳市公路管理局</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年财政批复预算支出</w:t>
      </w:r>
      <w:r>
        <w:rPr>
          <w:rFonts w:hint="eastAsia" w:ascii="仿宋" w:hAnsi="仿宋" w:eastAsia="仿宋" w:cs="仿宋"/>
          <w:sz w:val="32"/>
          <w:szCs w:val="32"/>
          <w:highlight w:val="none"/>
          <w:lang w:val="en-US" w:eastAsia="zh-CN"/>
        </w:rPr>
        <w:t>5675.66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4396.78</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1278.88</w:t>
      </w:r>
      <w:r>
        <w:rPr>
          <w:rFonts w:hint="eastAsia" w:ascii="仿宋" w:hAnsi="仿宋" w:eastAsia="仿宋" w:cs="仿宋"/>
          <w:sz w:val="32"/>
          <w:szCs w:val="32"/>
          <w:highlight w:val="none"/>
        </w:rPr>
        <w:t>万元；年中追加（调整）预算</w:t>
      </w:r>
      <w:r>
        <w:rPr>
          <w:rFonts w:hint="eastAsia" w:ascii="仿宋" w:hAnsi="仿宋" w:eastAsia="仿宋" w:cs="仿宋"/>
          <w:sz w:val="32"/>
          <w:szCs w:val="32"/>
          <w:highlight w:val="none"/>
          <w:lang w:val="en-US" w:eastAsia="zh-CN"/>
        </w:rPr>
        <w:t>18980.90</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-392.65</w:t>
      </w:r>
      <w:r>
        <w:rPr>
          <w:rFonts w:hint="eastAsia" w:ascii="仿宋" w:hAnsi="仿宋" w:eastAsia="仿宋" w:cs="仿宋"/>
          <w:sz w:val="32"/>
          <w:szCs w:val="32"/>
          <w:highlight w:val="none"/>
        </w:rPr>
        <w:t>万元，主要为工资福利支出，项目支出</w:t>
      </w:r>
      <w:r>
        <w:rPr>
          <w:rFonts w:hint="eastAsia" w:ascii="仿宋" w:hAnsi="仿宋" w:eastAsia="仿宋" w:cs="仿宋"/>
          <w:sz w:val="32"/>
          <w:szCs w:val="32"/>
          <w:highlight w:val="none"/>
          <w:lang w:val="en-US" w:eastAsia="zh-CN"/>
        </w:rPr>
        <w:t>19373.55</w:t>
      </w:r>
      <w:r>
        <w:rPr>
          <w:rFonts w:hint="eastAsia" w:ascii="仿宋" w:hAnsi="仿宋" w:eastAsia="仿宋" w:cs="仿宋"/>
          <w:sz w:val="32"/>
          <w:szCs w:val="32"/>
          <w:highlight w:val="none"/>
        </w:rPr>
        <w:t>万元，主要为专户拨入的公路养护专项；年末决算支出</w:t>
      </w:r>
      <w:r>
        <w:rPr>
          <w:rFonts w:hint="eastAsia" w:ascii="仿宋" w:hAnsi="仿宋" w:eastAsia="仿宋" w:cs="仿宋"/>
          <w:sz w:val="32"/>
          <w:szCs w:val="32"/>
          <w:highlight w:val="none"/>
          <w:lang w:val="en-US" w:eastAsia="zh-CN"/>
        </w:rPr>
        <w:t>24656.56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4004.13</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20652.43</w:t>
      </w:r>
      <w:r>
        <w:rPr>
          <w:rFonts w:hint="eastAsia" w:ascii="仿宋" w:hAnsi="仿宋" w:eastAsia="仿宋" w:cs="仿宋"/>
          <w:sz w:val="32"/>
          <w:szCs w:val="32"/>
          <w:highlight w:val="none"/>
        </w:rPr>
        <w:t>万元。</w:t>
      </w:r>
    </w:p>
    <w:p w14:paraId="797D4E5A">
      <w:pPr>
        <w:keepNext w:val="0"/>
        <w:keepLines w:val="0"/>
        <w:pageBreakBefore w:val="0"/>
        <w:kinsoku/>
        <w:wordWrap/>
        <w:overflowPunct/>
        <w:topLinePunct/>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（一） </w:t>
      </w:r>
      <w:r>
        <w:rPr>
          <w:rFonts w:hint="eastAsia" w:ascii="仿宋" w:hAnsi="仿宋" w:eastAsia="仿宋" w:cs="仿宋"/>
          <w:b/>
          <w:sz w:val="32"/>
          <w:szCs w:val="32"/>
          <w:lang w:eastAsia="zh-CN"/>
        </w:rPr>
        <w:t>2019</w:t>
      </w:r>
      <w:r>
        <w:rPr>
          <w:rFonts w:hint="eastAsia" w:ascii="仿宋" w:hAnsi="仿宋" w:eastAsia="仿宋" w:cs="仿宋"/>
          <w:b/>
          <w:sz w:val="32"/>
          <w:szCs w:val="32"/>
        </w:rPr>
        <w:t>年度部门预算情况</w:t>
      </w:r>
      <w:r>
        <w:rPr>
          <w:rFonts w:hint="eastAsia" w:ascii="仿宋" w:hAnsi="仿宋" w:eastAsia="仿宋" w:cs="仿宋"/>
          <w:sz w:val="32"/>
          <w:szCs w:val="32"/>
        </w:rPr>
        <w:t xml:space="preserve">  （万元）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08"/>
        <w:gridCol w:w="1120"/>
        <w:gridCol w:w="966"/>
        <w:gridCol w:w="968"/>
      </w:tblGrid>
      <w:tr w14:paraId="36A326D8">
        <w:tblPrEx>
          <w:tblCellMar>
            <w:top w:w="15" w:type="dxa"/>
            <w:left w:w="15" w:type="dxa"/>
            <w:bottom w:w="15" w:type="dxa"/>
            <w:right w:w="15" w:type="dxa"/>
          </w:tblCellMar>
        </w:tblPrEx>
        <w:trPr>
          <w:trHeight w:val="1100" w:hRule="atLeas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4A11493F">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753063">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EF9E422">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07BA01D7">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AEC86D8">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D095259">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9DBA43E">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14:paraId="209D3E7E">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174811B3">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bookmarkStart w:id="0" w:name="OLE_LINK1" w:colFirst="1" w:colLast="6"/>
            <w:r>
              <w:rPr>
                <w:rFonts w:hint="eastAsia" w:ascii="仿宋" w:hAnsi="仿宋" w:eastAsia="仿宋" w:cs="仿宋"/>
                <w:color w:val="000000"/>
                <w:kern w:val="0"/>
                <w:sz w:val="24"/>
                <w:szCs w:val="24"/>
                <w:lang w:bidi="ar"/>
              </w:rPr>
              <w:t>基本支出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C02DC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4396.78</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6C4EAB54">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1835.18</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3929E4A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262.08</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373FA63">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556.72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CCA7AD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139.78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378099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1603.02</w:t>
            </w:r>
          </w:p>
        </w:tc>
      </w:tr>
      <w:tr w14:paraId="64EAFCF0">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0BE7FB2B">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工资福利支出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289E9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3366.75</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5974081F">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1107.61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62698188">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222.73</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63C222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514.45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B20B344">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107.5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46153FD">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1414.46</w:t>
            </w:r>
          </w:p>
        </w:tc>
      </w:tr>
      <w:tr w14:paraId="78FF2D66">
        <w:tblPrEx>
          <w:tblCellMar>
            <w:top w:w="15" w:type="dxa"/>
            <w:left w:w="15" w:type="dxa"/>
            <w:bottom w:w="15" w:type="dxa"/>
            <w:right w:w="15" w:type="dxa"/>
          </w:tblCellMar>
        </w:tblPrEx>
        <w:trPr>
          <w:trHeight w:val="469"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0D8FBB38">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商品和服务支出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80718FD">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572.36</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1BDA028F">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279.36</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6CF7B15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39.35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683906F8">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42.27</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B50E77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32.12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448632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179.26</w:t>
            </w:r>
          </w:p>
        </w:tc>
      </w:tr>
      <w:tr w14:paraId="771F526E">
        <w:tblPrEx>
          <w:tblCellMar>
            <w:top w:w="15" w:type="dxa"/>
            <w:left w:w="15" w:type="dxa"/>
            <w:bottom w:w="15" w:type="dxa"/>
            <w:right w:w="15" w:type="dxa"/>
          </w:tblCellMar>
        </w:tblPrEx>
        <w:trPr>
          <w:trHeight w:val="466"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719E2A08">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对个人和家庭的补助</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070AB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457.67</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1F99019E">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448.21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032507F6">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31CBD6A">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9D2DA12">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0.16</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3567D11">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9.3</w:t>
            </w:r>
          </w:p>
        </w:tc>
      </w:tr>
      <w:tr w14:paraId="5DAF2B2B">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67566C0D">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E00DE8">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1278.88</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0E31FD75">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925.81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751A1D9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72.6</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C7ED0A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147.34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8592DB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59.31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533703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73.82</w:t>
            </w:r>
          </w:p>
        </w:tc>
      </w:tr>
      <w:tr w14:paraId="53C8BBE4">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51083022">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A9DA5D">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5675.66</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14:paraId="0161CBE6">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2760.99</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14:paraId="4A3A535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334.68</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D97E62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704.06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D98B9D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199.09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238A3D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1676.84</w:t>
            </w:r>
          </w:p>
        </w:tc>
      </w:tr>
      <w:bookmarkEnd w:id="0"/>
    </w:tbl>
    <w:p w14:paraId="53CFC7C6">
      <w:pPr>
        <w:keepNext w:val="0"/>
        <w:keepLines w:val="0"/>
        <w:pageBreakBefore w:val="0"/>
        <w:kinsoku/>
        <w:wordWrap/>
        <w:overflowPunct/>
        <w:autoSpaceDE/>
        <w:autoSpaceDN/>
        <w:bidi w:val="0"/>
        <w:adjustRightInd/>
        <w:snapToGrid/>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2019</w:t>
      </w:r>
      <w:r>
        <w:rPr>
          <w:rFonts w:hint="eastAsia" w:ascii="仿宋" w:hAnsi="仿宋" w:eastAsia="仿宋" w:cs="仿宋"/>
          <w:b/>
          <w:sz w:val="32"/>
          <w:szCs w:val="32"/>
        </w:rPr>
        <w:t>年预算追加(调整)情况（万元）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66"/>
        <w:gridCol w:w="1062"/>
        <w:gridCol w:w="966"/>
        <w:gridCol w:w="968"/>
      </w:tblGrid>
      <w:tr w14:paraId="22847BBF">
        <w:trPr>
          <w:trHeight w:val="920" w:hRule="atLeas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3E68E58A">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A296C10">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69B8096">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09C595A">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9F2AB8C">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3F66C80">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A04D582">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14:paraId="71E6FA18">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0E9E1400">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EBA23F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-392.65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8A4A8F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541.44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EE6E82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23.42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8E4DE4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-37.32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80CE234">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CD2AE7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-913.34</w:t>
            </w:r>
          </w:p>
        </w:tc>
      </w:tr>
      <w:tr w14:paraId="6FA1FDA2">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42F7D074">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DF14A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19373.55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C89742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19709.28</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30D777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9894163">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9587D23">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-59.31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54B4E0B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-73.82</w:t>
            </w:r>
          </w:p>
        </w:tc>
      </w:tr>
      <w:tr w14:paraId="6DA302B2">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14:paraId="2B39F3AF">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9BF2F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sum(B2:B3)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18980.9</w:t>
            </w:r>
            <w:r>
              <w:rPr>
                <w:rFonts w:hint="eastAsia" w:ascii="仿宋" w:hAnsi="仿宋" w:eastAsia="仿宋" w:cs="仿宋"/>
                <w:i w:val="0"/>
                <w:color w:val="000000"/>
                <w:kern w:val="0"/>
                <w:sz w:val="24"/>
                <w:szCs w:val="24"/>
                <w:u w:val="none"/>
                <w:lang w:val="en-US" w:eastAsia="zh-CN" w:bidi="ar"/>
              </w:rPr>
              <w:fldChar w:fldCharType="end"/>
            </w:r>
            <w:r>
              <w:rPr>
                <w:rFonts w:hint="eastAsia" w:ascii="仿宋" w:hAnsi="仿宋" w:eastAsia="仿宋" w:cs="仿宋"/>
                <w:i w:val="0"/>
                <w:color w:val="000000"/>
                <w:kern w:val="0"/>
                <w:sz w:val="24"/>
                <w:szCs w:val="24"/>
                <w:u w:val="none"/>
                <w:lang w:val="en-US" w:eastAsia="zh-CN" w:bidi="ar"/>
              </w:rPr>
              <w:t>0</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65232E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sum(C2:C3)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20250.72</w:t>
            </w:r>
            <w:r>
              <w:rPr>
                <w:rFonts w:hint="eastAsia" w:ascii="仿宋" w:hAnsi="仿宋" w:eastAsia="仿宋" w:cs="仿宋"/>
                <w:i w:val="0"/>
                <w:color w:val="000000"/>
                <w:kern w:val="0"/>
                <w:sz w:val="24"/>
                <w:szCs w:val="24"/>
                <w:u w:val="none"/>
                <w:lang w:val="en-US" w:eastAsia="zh-CN" w:bidi="ar"/>
              </w:rPr>
              <w:fldChar w:fldCharType="end"/>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A1898C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sum(D2:D3)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-49.18</w:t>
            </w:r>
            <w:r>
              <w:rPr>
                <w:rFonts w:hint="eastAsia" w:ascii="仿宋" w:hAnsi="仿宋" w:eastAsia="仿宋" w:cs="仿宋"/>
                <w:i w:val="0"/>
                <w:color w:val="000000"/>
                <w:kern w:val="0"/>
                <w:sz w:val="24"/>
                <w:szCs w:val="24"/>
                <w:u w:val="none"/>
                <w:lang w:val="en-US" w:eastAsia="zh-CN" w:bidi="ar"/>
              </w:rPr>
              <w:fldChar w:fldCharType="end"/>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36826A2">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sum(E2:E3)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-167.32</w:t>
            </w:r>
            <w:r>
              <w:rPr>
                <w:rFonts w:hint="eastAsia" w:ascii="仿宋" w:hAnsi="仿宋" w:eastAsia="仿宋" w:cs="仿宋"/>
                <w:i w:val="0"/>
                <w:color w:val="000000"/>
                <w:kern w:val="0"/>
                <w:sz w:val="24"/>
                <w:szCs w:val="24"/>
                <w:u w:val="none"/>
                <w:lang w:val="en-US" w:eastAsia="zh-CN" w:bidi="ar"/>
              </w:rPr>
              <w:fldChar w:fldCharType="end"/>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AA85BC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sum(F2:F3)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-66.16</w:t>
            </w:r>
            <w:r>
              <w:rPr>
                <w:rFonts w:hint="eastAsia" w:ascii="仿宋" w:hAnsi="仿宋" w:eastAsia="仿宋" w:cs="仿宋"/>
                <w:i w:val="0"/>
                <w:color w:val="000000"/>
                <w:kern w:val="0"/>
                <w:sz w:val="24"/>
                <w:szCs w:val="24"/>
                <w:u w:val="none"/>
                <w:lang w:val="en-US" w:eastAsia="zh-CN" w:bidi="ar"/>
              </w:rPr>
              <w:fldChar w:fldCharType="end"/>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E2DF6C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sum(G2:G3)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-987.16</w:t>
            </w:r>
            <w:r>
              <w:rPr>
                <w:rFonts w:hint="eastAsia" w:ascii="仿宋" w:hAnsi="仿宋" w:eastAsia="仿宋" w:cs="仿宋"/>
                <w:i w:val="0"/>
                <w:color w:val="000000"/>
                <w:kern w:val="0"/>
                <w:sz w:val="24"/>
                <w:szCs w:val="24"/>
                <w:u w:val="none"/>
                <w:lang w:val="en-US" w:eastAsia="zh-CN" w:bidi="ar"/>
              </w:rPr>
              <w:fldChar w:fldCharType="end"/>
            </w:r>
          </w:p>
        </w:tc>
      </w:tr>
    </w:tbl>
    <w:p w14:paraId="1A57B620">
      <w:pPr>
        <w:keepNext w:val="0"/>
        <w:keepLines w:val="0"/>
        <w:pageBreakBefore w:val="0"/>
        <w:kinsoku/>
        <w:wordWrap/>
        <w:overflowPunct/>
        <w:autoSpaceDE/>
        <w:autoSpaceDN/>
        <w:bidi w:val="0"/>
        <w:adjustRightInd/>
        <w:snapToGrid/>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2019</w:t>
      </w:r>
      <w:r>
        <w:rPr>
          <w:rFonts w:hint="eastAsia" w:ascii="仿宋" w:hAnsi="仿宋" w:eastAsia="仿宋" w:cs="仿宋"/>
          <w:b/>
          <w:sz w:val="32"/>
          <w:szCs w:val="32"/>
        </w:rPr>
        <w:t>年度部门决算情况（万元）</w:t>
      </w:r>
    </w:p>
    <w:tbl>
      <w:tblPr>
        <w:tblStyle w:val="4"/>
        <w:tblW w:w="0" w:type="auto"/>
        <w:tblInd w:w="0" w:type="dxa"/>
        <w:tblLayout w:type="fixed"/>
        <w:tblCellMar>
          <w:top w:w="15" w:type="dxa"/>
          <w:left w:w="15" w:type="dxa"/>
          <w:bottom w:w="15" w:type="dxa"/>
          <w:right w:w="15" w:type="dxa"/>
        </w:tblCellMar>
      </w:tblPr>
      <w:tblGrid>
        <w:gridCol w:w="2121"/>
        <w:gridCol w:w="1167"/>
        <w:gridCol w:w="1050"/>
        <w:gridCol w:w="983"/>
        <w:gridCol w:w="1267"/>
        <w:gridCol w:w="933"/>
        <w:gridCol w:w="821"/>
      </w:tblGrid>
      <w:tr w14:paraId="74D4B292">
        <w:tblPrEx>
          <w:tblCellMar>
            <w:top w:w="15" w:type="dxa"/>
            <w:left w:w="15" w:type="dxa"/>
            <w:bottom w:w="15" w:type="dxa"/>
            <w:right w:w="15" w:type="dxa"/>
          </w:tblCellMar>
        </w:tblPrEx>
        <w:trPr>
          <w:trHeight w:val="480" w:hRule="atLeas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6D3B1859">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F078232">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B7EBEE9">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5EF8E62">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46D1B9E">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E1E13D7">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4B76A04">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14:paraId="70B8CE00">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6B95D7A6">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40441D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4004.13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4A7F89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2376.62</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27C2181">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285.5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28378A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519.4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B9BAE2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132.93</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B5A9C0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689.68</w:t>
            </w:r>
          </w:p>
        </w:tc>
      </w:tr>
      <w:tr w14:paraId="6EF32311">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169D2E9E">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工资福利支出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584922D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i w:val="0"/>
                <w:color w:val="000000"/>
                <w:kern w:val="0"/>
                <w:sz w:val="24"/>
                <w:szCs w:val="24"/>
                <w:u w:val="none"/>
                <w:lang w:val="en-US" w:eastAsia="zh-CN" w:bidi="ar"/>
              </w:rPr>
              <w:t>2756.69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A5451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i w:val="0"/>
                <w:color w:val="000000"/>
                <w:kern w:val="0"/>
                <w:sz w:val="24"/>
                <w:szCs w:val="24"/>
                <w:u w:val="none"/>
                <w:lang w:val="en-US" w:eastAsia="zh-CN" w:bidi="ar"/>
              </w:rPr>
              <w:t>1248.02</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DC2688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225.15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FD0168F">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481.69</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C3EC58D">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117.2</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A01C66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684.63</w:t>
            </w:r>
          </w:p>
        </w:tc>
      </w:tr>
      <w:tr w14:paraId="132C2D11">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2B17D88D">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商品和服务支出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80A5E9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644.65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BBED15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541.38</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08622E1">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60.35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AB37C9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28.27</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6CFF94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14.65</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201AA317">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0B33D96E">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684C2957">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对个人和家庭的补助</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98E9BF1">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586.97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4A44282">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572.48</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382C13D">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371147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9.44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CE55673">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739E36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5.05</w:t>
            </w:r>
          </w:p>
        </w:tc>
      </w:tr>
      <w:tr w14:paraId="2B53F5DB">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7EA4A878">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其他资本性支出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8AF7DD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15.82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D6E27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14.74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0700F94">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0C872267">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7E88F3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1.08</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448F9EA">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6650B81C">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131FC59D">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B7F0F0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20652.43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2DCA544">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20635.09</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6F420E2">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F2F9C6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17.34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D563C81">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6805B1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r>
      <w:tr w14:paraId="1DC40F2C">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6554453B">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农林水支出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669677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F79085">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0.95</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097C880">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3AF6AFE">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98F1047">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6471732">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26E3E666">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35B0300F">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公路养护</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5F2B92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20609.14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56F0EA0">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20609.14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20D9448">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4FC2994">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39DF6C7">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343F350">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33983C20">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28BB9BD8">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其他公路水路运输支出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5545BE4A">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4D40AF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F097C42">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5C980080">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A15190E">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82E0ABE">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5B6C14D9">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09CDCFF2">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其他交通运输支出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28FFEF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22.34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EFDCB4">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606740D">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B221657">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17.34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34E903F">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358043C">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0B969293">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3DBAA8B9">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资源勘探开发</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69F0EFC">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AFC5A2">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auto"/>
                <w:sz w:val="24"/>
                <w:szCs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04CFF4B">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79B444B">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68DD463">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4F6ECD1">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03A8256F">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1F9B1C58">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安全生产监管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ACBEC9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FBBFBB0">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50D37BA">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E5F055A">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1F14DCC">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17757FB4">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14:paraId="572768B5">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14:paraId="2A63EB68">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4438E7E">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24656.56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862629B">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23011.71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7532D16">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285.5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490AA3D">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536.74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CFD05B3">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132.93</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62000519">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689.68</w:t>
            </w:r>
          </w:p>
        </w:tc>
      </w:tr>
    </w:tbl>
    <w:p w14:paraId="6BEA1C31">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从整体情况来看，益阳市公路管理局基本在支出过程中，能遵守各项规章制度，严格控制费用开支，项目支出均下达了投资计划，基本按计划组织实施，并加强了监督，达到了节约、高效的支出目标。</w:t>
      </w:r>
    </w:p>
    <w:p w14:paraId="1424E686">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二、绩效评价工作情况</w:t>
      </w:r>
    </w:p>
    <w:p w14:paraId="741B3FED">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（一）绩效评价目的</w:t>
      </w:r>
    </w:p>
    <w:p w14:paraId="3D9E15C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此次绩效评价的目的是：严格落实《预算法》及省、市绩效管理工作的有关规定，进一步规范财政资金的管理</w:t>
      </w:r>
      <w:r>
        <w:rPr>
          <w:rFonts w:hint="eastAsia" w:ascii="仿宋" w:hAnsi="仿宋" w:eastAsia="仿宋" w:cs="仿宋"/>
          <w:sz w:val="32"/>
          <w:szCs w:val="32"/>
          <w:lang w:eastAsia="zh-CN"/>
        </w:rPr>
        <w:t>，不断增强预算绩效理念，强化部门支出责任，推进全面实施预算绩效管理，提高财政资金使用效益。</w:t>
      </w:r>
    </w:p>
    <w:p w14:paraId="4FFFAC51">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（二）绩效评价的主要过程</w:t>
      </w:r>
    </w:p>
    <w:p w14:paraId="6C74D182">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根据绩效评价的要求，益阳市公路管理局成立了自评工作领导小组，由</w:t>
      </w:r>
      <w:r>
        <w:rPr>
          <w:rFonts w:hint="eastAsia" w:ascii="仿宋" w:hAnsi="仿宋" w:eastAsia="仿宋" w:cs="仿宋"/>
          <w:color w:val="auto"/>
          <w:sz w:val="32"/>
          <w:szCs w:val="32"/>
          <w:highlight w:val="none"/>
          <w:lang w:eastAsia="zh-CN"/>
        </w:rPr>
        <w:t>姚雪华</w:t>
      </w:r>
      <w:r>
        <w:rPr>
          <w:rFonts w:hint="eastAsia" w:ascii="仿宋" w:hAnsi="仿宋" w:eastAsia="仿宋" w:cs="仿宋"/>
          <w:color w:val="auto"/>
          <w:sz w:val="32"/>
          <w:szCs w:val="32"/>
          <w:highlight w:val="none"/>
        </w:rPr>
        <w:t>任组长，林小平、吴蜀湘任副组长，高跃峰、</w:t>
      </w:r>
      <w:r>
        <w:rPr>
          <w:rFonts w:hint="eastAsia" w:ascii="仿宋" w:hAnsi="仿宋" w:eastAsia="仿宋" w:cs="仿宋"/>
          <w:color w:val="auto"/>
          <w:sz w:val="32"/>
          <w:szCs w:val="32"/>
          <w:highlight w:val="none"/>
          <w:lang w:eastAsia="zh-CN"/>
        </w:rPr>
        <w:t>徐志刚</w:t>
      </w:r>
      <w:r>
        <w:rPr>
          <w:rFonts w:hint="eastAsia" w:ascii="仿宋" w:hAnsi="仿宋" w:eastAsia="仿宋" w:cs="仿宋"/>
          <w:color w:val="auto"/>
          <w:sz w:val="32"/>
          <w:szCs w:val="32"/>
          <w:highlight w:val="none"/>
        </w:rPr>
        <w:t>、刘新桥任成员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领导小组下设办公室，</w:t>
      </w:r>
      <w:r>
        <w:rPr>
          <w:rFonts w:hint="eastAsia" w:ascii="仿宋" w:hAnsi="仿宋" w:eastAsia="仿宋" w:cs="仿宋"/>
          <w:color w:val="auto"/>
          <w:sz w:val="32"/>
          <w:szCs w:val="32"/>
          <w:highlight w:val="none"/>
          <w:lang w:eastAsia="zh-CN"/>
        </w:rPr>
        <w:t>由高跃峰任办公室主任。办公室</w:t>
      </w:r>
      <w:r>
        <w:rPr>
          <w:rFonts w:hint="eastAsia" w:ascii="仿宋" w:hAnsi="仿宋" w:eastAsia="仿宋" w:cs="仿宋"/>
          <w:color w:val="auto"/>
          <w:sz w:val="32"/>
          <w:szCs w:val="32"/>
          <w:highlight w:val="none"/>
        </w:rPr>
        <w:t>负责绩效评价工作的具体实施</w:t>
      </w:r>
      <w:r>
        <w:rPr>
          <w:rFonts w:hint="eastAsia" w:ascii="仿宋" w:hAnsi="仿宋" w:eastAsia="仿宋" w:cs="仿宋"/>
          <w:color w:val="auto"/>
          <w:sz w:val="32"/>
          <w:szCs w:val="32"/>
          <w:highlight w:val="none"/>
          <w:lang w:eastAsia="zh-CN"/>
        </w:rPr>
        <w:t>，领导小组</w:t>
      </w:r>
      <w:r>
        <w:rPr>
          <w:rFonts w:hint="eastAsia" w:ascii="仿宋" w:hAnsi="仿宋" w:eastAsia="仿宋" w:cs="仿宋"/>
          <w:color w:val="auto"/>
          <w:sz w:val="32"/>
          <w:szCs w:val="32"/>
          <w:highlight w:val="none"/>
        </w:rPr>
        <w:t>制定了绩效自评工作方案，对照自评方案进行研究和布署，益阳市公路管理局领导及相关部门全程参与，</w:t>
      </w:r>
      <w:r>
        <w:rPr>
          <w:rFonts w:hint="eastAsia" w:ascii="仿宋" w:hAnsi="仿宋" w:eastAsia="仿宋" w:cs="仿宋"/>
          <w:color w:val="auto"/>
          <w:sz w:val="32"/>
          <w:szCs w:val="32"/>
          <w:highlight w:val="none"/>
          <w:lang w:eastAsia="zh-CN"/>
        </w:rPr>
        <w:t>并委托益阳中天会计师事务所协助自评，</w:t>
      </w:r>
      <w:r>
        <w:rPr>
          <w:rFonts w:hint="eastAsia" w:ascii="仿宋" w:hAnsi="仿宋" w:eastAsia="仿宋" w:cs="仿宋"/>
          <w:color w:val="auto"/>
          <w:sz w:val="32"/>
          <w:szCs w:val="32"/>
          <w:highlight w:val="none"/>
        </w:rPr>
        <w:t>按照自评方案的要求，对照各实施项目的内容逐条逐项自评。在自评过程发现问题，查找原因，积极整改，为下一步工作夯实基础。</w:t>
      </w:r>
    </w:p>
    <w:p w14:paraId="6830B146">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三、主要绩效及评价结论</w:t>
      </w:r>
    </w:p>
    <w:p w14:paraId="3AF8A65E">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年，全市公路系统紧紧围绕年度目标任务，积极参与交通大会战，</w:t>
      </w:r>
      <w:r>
        <w:rPr>
          <w:rFonts w:hint="eastAsia" w:ascii="仿宋" w:hAnsi="仿宋" w:eastAsia="仿宋" w:cs="仿宋"/>
          <w:color w:val="auto"/>
          <w:sz w:val="32"/>
          <w:szCs w:val="32"/>
          <w:highlight w:val="none"/>
          <w:lang w:eastAsia="zh-CN"/>
        </w:rPr>
        <w:t>按照全面实施的三大工程，切实加强三大养护，强力推进治超工作，扎实推进农村公路建设管养工作，持续提升安全生产水平，全面加强党的建设的工作部署，主动作为，扎实工作，</w:t>
      </w:r>
      <w:r>
        <w:rPr>
          <w:rFonts w:hint="eastAsia" w:ascii="仿宋" w:hAnsi="仿宋" w:eastAsia="仿宋" w:cs="仿宋"/>
          <w:color w:val="auto"/>
          <w:sz w:val="32"/>
          <w:szCs w:val="32"/>
          <w:highlight w:val="none"/>
        </w:rPr>
        <w:t>圆满地完成了各项工作目标任务。</w:t>
      </w:r>
    </w:p>
    <w:p w14:paraId="5A6A91E8">
      <w:pPr>
        <w:keepNext w:val="0"/>
        <w:keepLines w:val="0"/>
        <w:pageBreakBefore w:val="0"/>
        <w:widowControl w:val="0"/>
        <w:numPr>
          <w:ilvl w:val="0"/>
          <w:numId w:val="1"/>
        </w:numPr>
        <w:kinsoku/>
        <w:wordWrap/>
        <w:overflow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项目建设有力推进</w:t>
      </w:r>
    </w:p>
    <w:p w14:paraId="58A4E3EA">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sz w:val="32"/>
          <w:szCs w:val="32"/>
        </w:rPr>
        <w:t>1、干线公路大中修。通过推行招投标制、项目法人制、合同管理制、施工监理制、验收考核制等举措，细化前期工作，创新管理模式，严把工程技术关、质量关、安全关，实现多层有效监管，确保项目圆满完成。2019年，我市争取国省干线大中修（含2018年提前实施项目）计划67.955公里，争取部省补助资金11713万元，占全省补助资金比例13.2%，补助资金比例在全省排名第1。目前，大中修项目已全面完工，工程合格率100%，优良率100%，计划内项目完成总投资14374万元，提前实施预计划大修项目7.904km，</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rPr>
        <w:t>预</w:t>
      </w:r>
      <w:r>
        <w:rPr>
          <w:rFonts w:hint="eastAsia" w:ascii="仿宋" w:hAnsi="仿宋" w:eastAsia="仿宋" w:cs="仿宋"/>
          <w:color w:val="auto"/>
          <w:sz w:val="32"/>
          <w:szCs w:val="32"/>
          <w:lang w:eastAsia="zh-CN"/>
        </w:rPr>
        <w:t>计划</w:t>
      </w:r>
      <w:r>
        <w:rPr>
          <w:rFonts w:hint="eastAsia" w:ascii="仿宋" w:hAnsi="仿宋" w:eastAsia="仿宋" w:cs="仿宋"/>
          <w:color w:val="auto"/>
          <w:sz w:val="32"/>
          <w:szCs w:val="32"/>
        </w:rPr>
        <w:t>投资1494万元。</w:t>
      </w:r>
    </w:p>
    <w:p w14:paraId="626E53C5">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农村公路建设。以“四好农村路”建设活动为抓手，努力在提供农村交通基本服务均等化上寻求新进展，在促进区县（市）人民政府主体责任落实上取得新突破，在筹集农村公路建设发展资金上挖掘新潜力，以质量安全管理为主线，规范农村公路建设管理，推进了农村公路事业的健康有序发展。2019年，省下达我市自然村通水泥（沥青）路和窄路加宽考核目标任务分别为670公里和168公里。截至目前，自然村通水泥（沥青）路完成750.8公里，完成目标任务的112.1%，农村公路窄路加宽完成188.4公里，完成目标任务的112.1%。</w:t>
      </w:r>
    </w:p>
    <w:p w14:paraId="1C67F5CA">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3、国省道标志牌调整工程。为进一步提升国省道公路网的服务质量，为车辆行人提供更加精确的方向指引，为广大人民群众出行提供更加清晰的、长效性的识别系统，</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市范围内18条国省道开展了交通标志调整，共设置标志牌1407块，其中新增单柱式296块，新增悬臂式914块，新增附着</w:t>
      </w:r>
      <w:r>
        <w:rPr>
          <w:rFonts w:hint="eastAsia" w:ascii="仿宋" w:hAnsi="仿宋" w:eastAsia="仿宋" w:cs="仿宋"/>
          <w:sz w:val="32"/>
          <w:szCs w:val="32"/>
        </w:rPr>
        <w:t>式140块，更换悬臂式8块，利用旧标志49块，总投资2692万元。</w:t>
      </w:r>
    </w:p>
    <w:p w14:paraId="390A2050">
      <w:pPr>
        <w:keepNext w:val="0"/>
        <w:keepLines w:val="0"/>
        <w:pageBreakBefore w:val="0"/>
        <w:widowControl w:val="0"/>
        <w:numPr>
          <w:ilvl w:val="0"/>
          <w:numId w:val="0"/>
        </w:numPr>
        <w:kinsoku/>
        <w:wordWrap/>
        <w:overflow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（二）公路养护情况</w:t>
      </w:r>
    </w:p>
    <w:p w14:paraId="6F1F551D">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1、干线公路养护。夯实日常养护基础，抓住桥隧养护环节，重点突出安全防护，着力抓好日常及预防性养护、路网结构改造工程、服务区建设，强化养护工作督查考核，确保养护工作扎实开展。完成危桥改造投资5332万元，完成836.52m/ 22座；完成安保工程投资7437.9万元，完成343.63㎞；完成小修工程投资3341万元；完成预防性养护计划46.49公里；完成服务区建设计划2座，完成投资490万元。</w:t>
      </w:r>
    </w:p>
    <w:p w14:paraId="6C860DCB">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2、农村公路养护。紧紧围绕省局农村公路管养工作方案要求，充分发挥农村公路在服务乡村振兴战略、打赢脱贫攻坚战中的基础性、先导性作用，以“四好农村路”创建为抓手，全面落实县级人民政府主体责任，建立健全以公共财政投入为主的农村公路管养资金长效保障机制，全力推进农村公路养护管理工作，确保全市农村公路管理水平、路况水平、服务能力不断提升。全市农村公路路面中等路以上比例预计达88.9%（具体比例待第三方检测结果）；完成农村公路安防工程992.5公里；农村公路列养率达100%，县、乡、村道常养率分别达到100%、91%、75%；创建县道文明示范路545.613公里，累计达到25.7%；创建乡、村道文明示范路805.001公里，累计达到6.8%；创建示范乡镇26个；绿化率达89.94%。</w:t>
      </w:r>
    </w:p>
    <w:p w14:paraId="70F22BBF">
      <w:pPr>
        <w:keepNext w:val="0"/>
        <w:keepLines w:val="0"/>
        <w:pageBreakBefore w:val="0"/>
        <w:widowControl w:val="0"/>
        <w:numPr>
          <w:ilvl w:val="0"/>
          <w:numId w:val="0"/>
        </w:numPr>
        <w:kinsoku/>
        <w:wordWrap/>
        <w:overflowPunct/>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（三）路政工作情况</w:t>
      </w:r>
    </w:p>
    <w:p w14:paraId="682DC414">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坚持以确保公路完好、安全、畅通为中心，以提高科学管理水平、提升服务能力为主线，全面加强车辆超限超载治理，高位推进治超，坚持“四路同治”、源头治理，全面推进科技治超、信用治超、规范治超，做好公路路域环境专项整治活动，营造了公路“畅、安、舒、美”的公路通行环境。</w:t>
      </w:r>
    </w:p>
    <w:p w14:paraId="17FFC3BC">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超限超载治理。市领导多次深入治超一线暗访督查、调度督导全市治超工作，市政府督查室、市治超办对全市治超工作进行了11次明查暗访，全市共检测车辆1326366台次，查处超限超载车辆2801台，卸载超限超载货物34616.97吨，交警扣分2915分，切割非法改（拼）装车辆254辆，全市干线公路超限率下降到了0.2%（省指标1%以下），全市高速公路入口超限率由去年底的0.83%下降到今年10月份的0.09%（省指标0.5%以下）。今年1至10月，全市信息抄告2358份，吊销道路运输证44 本，吊销道路从业资格证11本，扣除诚信分1570分，行政拘留5人。</w:t>
      </w:r>
    </w:p>
    <w:p w14:paraId="262E7EED">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2、路域环境整</w:t>
      </w:r>
      <w:r>
        <w:rPr>
          <w:rFonts w:hint="eastAsia" w:ascii="仿宋" w:hAnsi="仿宋" w:eastAsia="仿宋" w:cs="仿宋"/>
          <w:color w:val="auto"/>
          <w:sz w:val="32"/>
          <w:szCs w:val="32"/>
        </w:rPr>
        <w:t>治。</w:t>
      </w:r>
      <w:r>
        <w:rPr>
          <w:rFonts w:hint="eastAsia" w:ascii="仿宋" w:hAnsi="仿宋" w:eastAsia="仿宋" w:cs="仿宋"/>
          <w:color w:val="auto"/>
          <w:sz w:val="32"/>
          <w:szCs w:val="32"/>
          <w:lang w:val="en-US" w:eastAsia="zh-CN"/>
        </w:rPr>
        <w:t>2019年，</w:t>
      </w:r>
      <w:r>
        <w:rPr>
          <w:rFonts w:hint="eastAsia" w:ascii="仿宋" w:hAnsi="仿宋" w:eastAsia="仿宋" w:cs="仿宋"/>
          <w:color w:val="auto"/>
          <w:sz w:val="32"/>
          <w:szCs w:val="32"/>
        </w:rPr>
        <w:t>全市共出动宣传车辆92台次，执法人员826人次，开展现场咨询活动15次，设置流动宣传咨询台120处，发放宣传资料20000份，悬挂宣传横幅250余条，制作宣传展板14块，通过媒体报道4次，发送宣传短信600多条，进驻重点货运源头企业宣传39家，开展超限超载专项整治行动12次，全市共查处违法案件54起。</w:t>
      </w:r>
    </w:p>
    <w:p w14:paraId="3377A536">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（四）</w:t>
      </w:r>
      <w:r>
        <w:rPr>
          <w:rFonts w:hint="eastAsia" w:ascii="仿宋" w:hAnsi="仿宋" w:eastAsia="仿宋" w:cs="仿宋"/>
          <w:b/>
          <w:bCs/>
          <w:color w:val="auto"/>
          <w:sz w:val="32"/>
          <w:szCs w:val="32"/>
          <w:lang w:eastAsia="zh-CN"/>
        </w:rPr>
        <w:t>脱贫攻坚有序推进</w:t>
      </w:r>
    </w:p>
    <w:p w14:paraId="4AC1A5A0">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今年是进驻桃江县松木塘镇三节塘村帮扶工作的第二年，也是巩固脱贫成果，继续完善基础设施建设，推进“美丽乡村”建设、农村人居环境整治的一年。</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党委高度重视扶贫工</w:t>
      </w:r>
      <w:r>
        <w:rPr>
          <w:rFonts w:hint="eastAsia" w:ascii="仿宋" w:hAnsi="仿宋" w:eastAsia="仿宋" w:cs="仿宋"/>
          <w:sz w:val="32"/>
          <w:szCs w:val="32"/>
        </w:rPr>
        <w:t>作，全年组织相关部门召开现场办公会、调度会4次，主要领导12次、分管领导14次到村上走访调研，党委班子成员12次走访结对帮扶贫困户。在全体党员中开展优秀党员评比活动，在全村开展争创“十星级文明农户”活动，召开农副产品展销会，鼓励、指导贫困户发展产业。完成村组道</w:t>
      </w:r>
      <w:r>
        <w:rPr>
          <w:rFonts w:hint="eastAsia" w:ascii="仿宋" w:hAnsi="仿宋" w:eastAsia="仿宋" w:cs="仿宋"/>
          <w:color w:val="auto"/>
          <w:sz w:val="32"/>
          <w:szCs w:val="32"/>
        </w:rPr>
        <w:t>路破碎板处理625平方米，加宽错车道5处，修复河堤332立方米，安装路灯137盏，改造危桥1座，</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rPr>
        <w:t>杨柳溪青山潭电力台区项目、杨柳溪后公湾组农田项目。</w:t>
      </w:r>
    </w:p>
    <w:p w14:paraId="2365B766">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（五）党建工作深入扎实</w:t>
      </w:r>
    </w:p>
    <w:p w14:paraId="75E5B3E2">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一是主题教育成效显著。紧扣学习贯彻习近平新时代中国特色社会主义思想这条主线，围绕《学习纲要》《论述选编》等内容开展理论学习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二是夯实思想防线。落实意识形态工作责任制，加强意识形态阵地的建设和管理</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三是强</w:t>
      </w:r>
      <w:r>
        <w:rPr>
          <w:rFonts w:hint="eastAsia" w:ascii="仿宋" w:hAnsi="仿宋" w:eastAsia="仿宋" w:cs="仿宋"/>
          <w:sz w:val="32"/>
          <w:szCs w:val="32"/>
        </w:rPr>
        <w:t>化支部建设严格落实“三会一课”、谈心谈话、民主评议党员制度，扎实开展主题党日、组织生活会等活动</w:t>
      </w:r>
      <w:r>
        <w:rPr>
          <w:rFonts w:hint="eastAsia" w:ascii="仿宋" w:hAnsi="仿宋" w:eastAsia="仿宋" w:cs="仿宋"/>
          <w:sz w:val="32"/>
          <w:szCs w:val="32"/>
          <w:lang w:val="en-US" w:eastAsia="zh-CN"/>
        </w:rPr>
        <w:t>,</w:t>
      </w:r>
      <w:r>
        <w:rPr>
          <w:rFonts w:hint="eastAsia" w:ascii="仿宋" w:hAnsi="仿宋" w:eastAsia="仿宋" w:cs="仿宋"/>
          <w:sz w:val="32"/>
          <w:szCs w:val="32"/>
        </w:rPr>
        <w:t>加强支部标准化建设</w:t>
      </w:r>
      <w:r>
        <w:rPr>
          <w:rFonts w:hint="eastAsia" w:ascii="仿宋" w:hAnsi="仿宋" w:eastAsia="仿宋" w:cs="仿宋"/>
          <w:sz w:val="32"/>
          <w:szCs w:val="32"/>
          <w:lang w:val="en-US" w:eastAsia="zh-CN"/>
        </w:rPr>
        <w:t>;</w:t>
      </w:r>
      <w:r>
        <w:rPr>
          <w:rFonts w:hint="eastAsia" w:ascii="仿宋" w:hAnsi="仿宋" w:eastAsia="仿宋" w:cs="仿宋"/>
          <w:sz w:val="32"/>
          <w:szCs w:val="32"/>
        </w:rPr>
        <w:t>四是落实</w:t>
      </w:r>
      <w:bookmarkStart w:id="1" w:name="_GoBack"/>
      <w:bookmarkEnd w:id="1"/>
      <w:r>
        <w:rPr>
          <w:rFonts w:hint="eastAsia" w:ascii="仿宋" w:hAnsi="仿宋" w:eastAsia="仿宋" w:cs="仿宋"/>
          <w:sz w:val="32"/>
          <w:szCs w:val="32"/>
        </w:rPr>
        <w:t>全面从严治党责任。组织召开党风廉政建设专题会议，强化党风廉政建设主体责任。</w:t>
      </w:r>
    </w:p>
    <w:p w14:paraId="4F0BD275">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安全生产稳中向好</w:t>
      </w:r>
    </w:p>
    <w:p w14:paraId="4C671C1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始终坚持“安全第一、预防为主、综合治理”方针，科学管理，统筹安排，全面提高了公路保障能力和服务水平，实现了全年无安全生产责任事故的安全生产工作目标。一是落实安全生产责任制，强化安全目标责任。“党政同责、一岗双责”的安全生产领导体制和责任体系进一步完善，安全生产目标责任体系不断健全。二是开展安全专项行动，防范安全生产事故。全年开展了春运安全工作、安全生产隐患“十大专项整治”百日行动、安全监管“强执法防事故”行动等专项行动。三是突出安全重点，确保公路安全畅通。加强了国省道日常性监控，实现了对重点区域、关键环节的有效管控，强化了重点时段、重点部位的安全监管。四是加强舆论引导，强化安全宣传。在本机关院内、项目施工场所、主要活动区域等人员密集场所悬挂宣传横幅标语500多条，发放宣传资料3万多份。</w:t>
      </w:r>
    </w:p>
    <w:p w14:paraId="2731E30D">
      <w:pPr>
        <w:keepNext w:val="0"/>
        <w:keepLines w:val="0"/>
        <w:pageBreakBefore w:val="0"/>
        <w:widowControl w:val="0"/>
        <w:kinsoku/>
        <w:wordWrap/>
        <w:overflowPunct/>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四、存在的主要问题</w:t>
      </w:r>
    </w:p>
    <w:p w14:paraId="4B18C163">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公路养护账并入经费账核算后，通过公路养护专户拨入的专项资</w:t>
      </w:r>
      <w:r>
        <w:rPr>
          <w:rFonts w:hint="eastAsia" w:ascii="仿宋" w:hAnsi="仿宋" w:eastAsia="仿宋" w:cs="仿宋"/>
          <w:color w:val="auto"/>
          <w:sz w:val="32"/>
          <w:szCs w:val="32"/>
        </w:rPr>
        <w:t>金均在“其他收入”反映，致“其他收入”数额巨大；公路养护报表比财政决算报表编报时间稍迟，年末公路养护数据有调整，导致</w:t>
      </w:r>
      <w:r>
        <w:rPr>
          <w:rFonts w:hint="eastAsia" w:ascii="仿宋" w:hAnsi="仿宋" w:eastAsia="仿宋" w:cs="仿宋"/>
          <w:color w:val="auto"/>
          <w:sz w:val="32"/>
          <w:szCs w:val="32"/>
          <w:lang w:eastAsia="zh-CN"/>
        </w:rPr>
        <w:t>公路养护</w:t>
      </w:r>
      <w:r>
        <w:rPr>
          <w:rFonts w:hint="eastAsia" w:ascii="仿宋" w:hAnsi="仿宋" w:eastAsia="仿宋" w:cs="仿宋"/>
          <w:color w:val="auto"/>
          <w:sz w:val="32"/>
          <w:szCs w:val="32"/>
        </w:rPr>
        <w:t>报表与</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决算报表数据不一致。</w:t>
      </w:r>
    </w:p>
    <w:p w14:paraId="1ABDF046">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五、有关建议</w:t>
      </w:r>
    </w:p>
    <w:p w14:paraId="52E2F5AE">
      <w:pPr>
        <w:keepNext w:val="0"/>
        <w:keepLines w:val="0"/>
        <w:pageBreakBefore w:val="0"/>
        <w:widowControl w:val="0"/>
        <w:kinsoku/>
        <w:wordWrap/>
        <w:overflowPunct/>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color w:val="auto"/>
          <w:sz w:val="32"/>
          <w:szCs w:val="32"/>
        </w:rPr>
        <w:t>1、财政加大预算安排力度，</w:t>
      </w:r>
      <w:r>
        <w:rPr>
          <w:rFonts w:hint="eastAsia" w:ascii="仿宋" w:hAnsi="仿宋" w:eastAsia="仿宋" w:cs="仿宋"/>
          <w:sz w:val="32"/>
          <w:szCs w:val="32"/>
        </w:rPr>
        <w:t>增加公路部门基本支出预算，将公路系统常年性专项经费纳入部门预算。</w:t>
      </w:r>
      <w:r>
        <w:rPr>
          <w:rFonts w:hint="eastAsia" w:ascii="仿宋" w:hAnsi="仿宋" w:eastAsia="仿宋" w:cs="仿宋"/>
          <w:sz w:val="32"/>
          <w:szCs w:val="32"/>
          <w:lang w:eastAsia="zh-CN"/>
        </w:rPr>
        <w:t>努力</w:t>
      </w:r>
      <w:r>
        <w:rPr>
          <w:rFonts w:hint="eastAsia" w:ascii="仿宋" w:hAnsi="仿宋" w:eastAsia="仿宋" w:cs="仿宋"/>
          <w:sz w:val="32"/>
          <w:szCs w:val="32"/>
        </w:rPr>
        <w:t>积极争取省补资金，强化前期，优化设计，合理安排，加强全过程管理，推广四新技术，实施“五化”工程，抓早抓紧抓实抓好，提高公路品质。</w:t>
      </w:r>
    </w:p>
    <w:p w14:paraId="4ECF281C">
      <w:pPr>
        <w:keepNext w:val="0"/>
        <w:keepLines w:val="0"/>
        <w:pageBreakBefore w:val="0"/>
        <w:widowControl w:val="0"/>
        <w:kinsoku/>
        <w:wordWrap/>
        <w:overflowPunct/>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rPr>
        <w:t>2、将公路养护费用列入重点项目支出预算，确保养护费用专款专用。争取上级加大投入，加强预防性养护</w:t>
      </w:r>
      <w:r>
        <w:rPr>
          <w:rFonts w:hint="eastAsia" w:ascii="仿宋" w:hAnsi="仿宋" w:eastAsia="仿宋" w:cs="仿宋"/>
          <w:sz w:val="32"/>
          <w:szCs w:val="32"/>
          <w:lang w:eastAsia="zh-CN"/>
        </w:rPr>
        <w:t>。</w:t>
      </w:r>
      <w:r>
        <w:rPr>
          <w:rFonts w:hint="eastAsia" w:ascii="仿宋" w:hAnsi="仿宋" w:eastAsia="仿宋" w:cs="仿宋"/>
          <w:sz w:val="32"/>
          <w:szCs w:val="32"/>
        </w:rPr>
        <w:t>健全以公共财政投入为主的养护资金保障机制，确保养护投入落到实处；全面开展日常性养护，加大预防性养护、小修和大中修工程实施力度</w:t>
      </w:r>
      <w:r>
        <w:rPr>
          <w:rFonts w:hint="eastAsia" w:ascii="仿宋" w:hAnsi="仿宋" w:eastAsia="仿宋" w:cs="仿宋"/>
          <w:sz w:val="32"/>
          <w:szCs w:val="32"/>
          <w:lang w:eastAsia="zh-CN"/>
        </w:rPr>
        <w:t>。</w:t>
      </w:r>
    </w:p>
    <w:p w14:paraId="448ABC7F">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2019</w:t>
      </w:r>
      <w:r>
        <w:rPr>
          <w:rFonts w:hint="eastAsia" w:ascii="仿宋" w:hAnsi="仿宋" w:eastAsia="仿宋" w:cs="仿宋"/>
          <w:sz w:val="32"/>
          <w:szCs w:val="32"/>
        </w:rPr>
        <w:t>年部门整体支出绩效自评指标计分表</w:t>
      </w:r>
    </w:p>
    <w:p w14:paraId="216A30CA">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6745B205">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304B6FD8">
      <w:pPr>
        <w:keepNext w:val="0"/>
        <w:keepLines w:val="0"/>
        <w:pageBreakBefore w:val="0"/>
        <w:kinsoku/>
        <w:wordWrap/>
        <w:overflowPunct/>
        <w:autoSpaceDE/>
        <w:autoSpaceDN/>
        <w:bidi w:val="0"/>
        <w:adjustRightInd/>
        <w:snapToGrid/>
        <w:spacing w:line="600" w:lineRule="exact"/>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益阳市公路管理局</w:t>
      </w:r>
    </w:p>
    <w:p w14:paraId="41857808">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年4月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14:paraId="62378E29">
      <w:pPr>
        <w:spacing w:line="540" w:lineRule="exact"/>
        <w:jc w:val="left"/>
        <w:rPr>
          <w:rFonts w:hint="eastAsia" w:ascii="仿宋" w:eastAsia="仿宋"/>
          <w:sz w:val="30"/>
          <w:szCs w:val="30"/>
        </w:rPr>
      </w:pPr>
    </w:p>
    <w:p w14:paraId="1CF6BA88">
      <w:pPr>
        <w:spacing w:line="540" w:lineRule="exact"/>
        <w:jc w:val="left"/>
        <w:rPr>
          <w:rFonts w:hint="eastAsia" w:ascii="仿宋" w:eastAsia="仿宋"/>
          <w:sz w:val="30"/>
          <w:szCs w:val="30"/>
        </w:rPr>
      </w:pPr>
    </w:p>
    <w:p w14:paraId="04D23CF7"/>
    <w:p w14:paraId="7A1FAC18"/>
    <w:p w14:paraId="6902D52C"/>
    <w:p w14:paraId="641E100D"/>
    <w:p w14:paraId="4EBD4B7A"/>
    <w:p w14:paraId="1B6A0D13"/>
    <w:p w14:paraId="689AE928"/>
    <w:p w14:paraId="33E8BC51"/>
    <w:p w14:paraId="253D62CE"/>
    <w:p w14:paraId="1AC6E75F"/>
    <w:p w14:paraId="5DC5CDF8"/>
    <w:p w14:paraId="2082F7C4"/>
    <w:p w14:paraId="33F1AAD1">
      <w:pPr>
        <w:rPr>
          <w:rFonts w:hint="eastAsia" w:ascii="黑体" w:eastAsia="黑体"/>
          <w:szCs w:val="32"/>
        </w:rPr>
      </w:pPr>
      <w:r>
        <w:rPr>
          <w:rFonts w:hint="eastAsia" w:ascii="黑体" w:eastAsia="黑体"/>
          <w:szCs w:val="32"/>
        </w:rPr>
        <w:t>附件：</w:t>
      </w:r>
    </w:p>
    <w:tbl>
      <w:tblPr>
        <w:tblStyle w:val="4"/>
        <w:tblW w:w="8964" w:type="dxa"/>
        <w:tblInd w:w="0" w:type="dxa"/>
        <w:tblLayout w:type="fixed"/>
        <w:tblCellMar>
          <w:top w:w="0" w:type="dxa"/>
          <w:left w:w="0" w:type="dxa"/>
          <w:bottom w:w="0" w:type="dxa"/>
          <w:right w:w="0" w:type="dxa"/>
        </w:tblCellMar>
      </w:tblPr>
      <w:tblGrid>
        <w:gridCol w:w="547"/>
        <w:gridCol w:w="570"/>
        <w:gridCol w:w="703"/>
        <w:gridCol w:w="446"/>
        <w:gridCol w:w="2976"/>
        <w:gridCol w:w="3722"/>
      </w:tblGrid>
      <w:tr w14:paraId="65814FD1">
        <w:tblPrEx>
          <w:tblCellMar>
            <w:top w:w="0" w:type="dxa"/>
            <w:left w:w="0" w:type="dxa"/>
            <w:bottom w:w="0" w:type="dxa"/>
            <w:right w:w="0" w:type="dxa"/>
          </w:tblCellMar>
        </w:tblPrEx>
        <w:trPr>
          <w:tblHeader/>
        </w:trPr>
        <w:tc>
          <w:tcPr>
            <w:tcW w:w="8964" w:type="dxa"/>
            <w:gridSpan w:val="6"/>
            <w:tcBorders>
              <w:bottom w:val="single" w:color="auto" w:sz="4" w:space="0"/>
            </w:tcBorders>
            <w:noWrap w:val="0"/>
            <w:tcMar>
              <w:top w:w="10" w:type="dxa"/>
              <w:left w:w="10" w:type="dxa"/>
              <w:bottom w:w="0" w:type="dxa"/>
              <w:right w:w="10" w:type="dxa"/>
            </w:tcMar>
            <w:vAlign w:val="center"/>
          </w:tcPr>
          <w:p w14:paraId="593721C3">
            <w:pPr>
              <w:jc w:val="center"/>
              <w:rPr>
                <w:rFonts w:hint="eastAsia" w:ascii="黑体" w:eastAsia="黑体"/>
                <w:bCs/>
                <w:sz w:val="36"/>
                <w:szCs w:val="36"/>
              </w:rPr>
            </w:pPr>
            <w:r>
              <w:rPr>
                <w:rFonts w:hint="eastAsia" w:ascii="黑体" w:eastAsia="黑体"/>
                <w:bCs/>
                <w:sz w:val="36"/>
                <w:szCs w:val="36"/>
                <w:lang w:eastAsia="zh-CN"/>
              </w:rPr>
              <w:t>2019</w:t>
            </w:r>
            <w:r>
              <w:rPr>
                <w:rFonts w:hint="eastAsia" w:ascii="黑体" w:eastAsia="黑体"/>
                <w:bCs/>
                <w:sz w:val="36"/>
                <w:szCs w:val="36"/>
              </w:rPr>
              <w:t>年度部门整体支出绩效自评指标计分表</w:t>
            </w:r>
          </w:p>
          <w:p w14:paraId="79AA8797">
            <w:pPr>
              <w:jc w:val="center"/>
              <w:rPr>
                <w:rFonts w:hint="eastAsia" w:ascii="仿宋_GB2312"/>
                <w:bCs/>
                <w:sz w:val="21"/>
                <w:szCs w:val="21"/>
              </w:rPr>
            </w:pPr>
          </w:p>
        </w:tc>
      </w:tr>
      <w:tr w14:paraId="72F7F982">
        <w:tblPrEx>
          <w:tblCellMar>
            <w:top w:w="0" w:type="dxa"/>
            <w:left w:w="0" w:type="dxa"/>
            <w:bottom w:w="0" w:type="dxa"/>
            <w:right w:w="0" w:type="dxa"/>
          </w:tblCellMar>
        </w:tblPrEx>
        <w:trPr>
          <w:trHeight w:val="567" w:hRule="atLeast"/>
          <w:tblHeader/>
        </w:trPr>
        <w:tc>
          <w:tcPr>
            <w:tcW w:w="54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930D491">
            <w:pPr>
              <w:spacing w:line="240" w:lineRule="exact"/>
              <w:jc w:val="center"/>
              <w:rPr>
                <w:rFonts w:hint="eastAsia" w:ascii="仿宋_GB2312"/>
                <w:bCs/>
                <w:sz w:val="21"/>
                <w:szCs w:val="21"/>
              </w:rPr>
            </w:pPr>
            <w:r>
              <w:rPr>
                <w:rFonts w:hint="eastAsia" w:ascii="仿宋_GB2312"/>
                <w:bCs/>
                <w:sz w:val="21"/>
                <w:szCs w:val="21"/>
              </w:rPr>
              <w:t>一级</w:t>
            </w:r>
            <w:r>
              <w:rPr>
                <w:rFonts w:hint="eastAsia" w:ascii="仿宋_GB2312"/>
                <w:bCs/>
                <w:sz w:val="21"/>
                <w:szCs w:val="21"/>
              </w:rPr>
              <w:br w:type="textWrapping"/>
            </w:r>
            <w:r>
              <w:rPr>
                <w:rFonts w:hint="eastAsia" w:ascii="仿宋_GB2312"/>
                <w:bCs/>
                <w:sz w:val="21"/>
                <w:szCs w:val="21"/>
              </w:rPr>
              <w:t>指标</w:t>
            </w:r>
          </w:p>
        </w:tc>
        <w:tc>
          <w:tcPr>
            <w:tcW w:w="5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E8602C6">
            <w:pPr>
              <w:spacing w:line="240" w:lineRule="exact"/>
              <w:jc w:val="center"/>
              <w:rPr>
                <w:rFonts w:hint="eastAsia" w:ascii="仿宋_GB2312"/>
                <w:bCs/>
                <w:sz w:val="21"/>
                <w:szCs w:val="21"/>
              </w:rPr>
            </w:pPr>
            <w:r>
              <w:rPr>
                <w:rFonts w:hint="eastAsia" w:ascii="仿宋_GB2312"/>
                <w:bCs/>
                <w:sz w:val="21"/>
                <w:szCs w:val="21"/>
              </w:rPr>
              <w:t>二级指标</w:t>
            </w: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F8FDB2B">
            <w:pPr>
              <w:spacing w:line="240" w:lineRule="exact"/>
              <w:jc w:val="center"/>
              <w:rPr>
                <w:rFonts w:hint="eastAsia" w:ascii="仿宋_GB2312"/>
                <w:bCs/>
                <w:sz w:val="21"/>
                <w:szCs w:val="21"/>
              </w:rPr>
            </w:pPr>
            <w:r>
              <w:rPr>
                <w:rFonts w:hint="eastAsia" w:ascii="仿宋_GB2312"/>
                <w:bCs/>
                <w:sz w:val="21"/>
                <w:szCs w:val="21"/>
              </w:rPr>
              <w:t>三级指标</w:t>
            </w:r>
          </w:p>
        </w:tc>
        <w:tc>
          <w:tcPr>
            <w:tcW w:w="446" w:type="dxa"/>
            <w:tcBorders>
              <w:top w:val="single" w:color="auto" w:sz="4" w:space="0"/>
              <w:left w:val="nil"/>
              <w:bottom w:val="single" w:color="auto" w:sz="4" w:space="0"/>
              <w:right w:val="single" w:color="auto" w:sz="4" w:space="0"/>
            </w:tcBorders>
            <w:noWrap w:val="0"/>
            <w:vAlign w:val="center"/>
          </w:tcPr>
          <w:p w14:paraId="5C865BAF">
            <w:pPr>
              <w:spacing w:line="240" w:lineRule="exact"/>
              <w:jc w:val="center"/>
              <w:rPr>
                <w:rFonts w:hint="eastAsia" w:ascii="仿宋_GB2312"/>
                <w:bCs/>
                <w:sz w:val="21"/>
                <w:szCs w:val="21"/>
              </w:rPr>
            </w:pPr>
            <w:r>
              <w:rPr>
                <w:rFonts w:hint="eastAsia" w:ascii="仿宋_GB2312"/>
                <w:bCs/>
                <w:sz w:val="21"/>
                <w:szCs w:val="21"/>
              </w:rPr>
              <w:t>自评分</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EDBF7C1">
            <w:pPr>
              <w:spacing w:line="240" w:lineRule="exact"/>
              <w:jc w:val="center"/>
              <w:rPr>
                <w:rFonts w:hint="eastAsia" w:ascii="仿宋_GB2312"/>
                <w:bCs/>
                <w:sz w:val="21"/>
                <w:szCs w:val="21"/>
              </w:rPr>
            </w:pPr>
            <w:r>
              <w:rPr>
                <w:rFonts w:hint="eastAsia" w:ascii="仿宋_GB2312"/>
                <w:bCs/>
                <w:sz w:val="21"/>
                <w:szCs w:val="21"/>
              </w:rPr>
              <w:t>指标解释</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545E390">
            <w:pPr>
              <w:spacing w:line="240" w:lineRule="exact"/>
              <w:jc w:val="center"/>
              <w:rPr>
                <w:rFonts w:hint="eastAsia" w:ascii="仿宋_GB2312"/>
                <w:bCs/>
                <w:sz w:val="21"/>
                <w:szCs w:val="21"/>
              </w:rPr>
            </w:pPr>
            <w:r>
              <w:rPr>
                <w:rFonts w:hint="eastAsia" w:ascii="仿宋_GB2312"/>
                <w:bCs/>
                <w:sz w:val="21"/>
                <w:szCs w:val="21"/>
              </w:rPr>
              <w:t>指标说明</w:t>
            </w:r>
          </w:p>
        </w:tc>
      </w:tr>
      <w:tr w14:paraId="5DF8E20B">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0DC7AFEB">
            <w:pPr>
              <w:spacing w:line="240" w:lineRule="exact"/>
              <w:jc w:val="center"/>
              <w:rPr>
                <w:rFonts w:hint="eastAsia" w:ascii="仿宋_GB2312"/>
                <w:sz w:val="21"/>
                <w:szCs w:val="21"/>
              </w:rPr>
            </w:pPr>
            <w:r>
              <w:rPr>
                <w:rFonts w:hint="eastAsia" w:ascii="仿宋_GB2312"/>
                <w:sz w:val="21"/>
                <w:szCs w:val="21"/>
              </w:rPr>
              <w:t>投   入（20分）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EFB597C">
            <w:pPr>
              <w:spacing w:line="240" w:lineRule="exact"/>
              <w:jc w:val="center"/>
              <w:rPr>
                <w:rFonts w:hint="eastAsia" w:ascii="仿宋_GB2312"/>
                <w:sz w:val="21"/>
                <w:szCs w:val="21"/>
              </w:rPr>
            </w:pPr>
            <w:r>
              <w:rPr>
                <w:rFonts w:hint="eastAsia" w:ascii="仿宋_GB2312"/>
                <w:sz w:val="21"/>
                <w:szCs w:val="21"/>
              </w:rPr>
              <w:t>目标</w:t>
            </w:r>
            <w:r>
              <w:rPr>
                <w:rFonts w:hint="eastAsia" w:ascii="仿宋_GB2312"/>
                <w:sz w:val="21"/>
                <w:szCs w:val="21"/>
              </w:rPr>
              <w:br w:type="textWrapping"/>
            </w:r>
            <w:r>
              <w:rPr>
                <w:rFonts w:hint="eastAsia" w:ascii="仿宋_GB2312"/>
                <w:sz w:val="21"/>
                <w:szCs w:val="21"/>
              </w:rPr>
              <w:t>设定（5分）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2A793E">
            <w:pPr>
              <w:spacing w:line="240" w:lineRule="exact"/>
              <w:jc w:val="center"/>
              <w:rPr>
                <w:rFonts w:hint="eastAsia" w:ascii="仿宋_GB2312"/>
                <w:sz w:val="21"/>
                <w:szCs w:val="21"/>
              </w:rPr>
            </w:pPr>
            <w:r>
              <w:rPr>
                <w:rFonts w:hint="eastAsia" w:ascii="仿宋_GB2312"/>
                <w:sz w:val="21"/>
                <w:szCs w:val="21"/>
              </w:rPr>
              <w:t>绩效目标合理性（2分）</w:t>
            </w:r>
          </w:p>
        </w:tc>
        <w:tc>
          <w:tcPr>
            <w:tcW w:w="446" w:type="dxa"/>
            <w:tcBorders>
              <w:top w:val="single" w:color="auto" w:sz="4" w:space="0"/>
              <w:left w:val="nil"/>
              <w:bottom w:val="single" w:color="auto" w:sz="4" w:space="0"/>
              <w:right w:val="single" w:color="auto" w:sz="4" w:space="0"/>
            </w:tcBorders>
            <w:noWrap w:val="0"/>
            <w:vAlign w:val="center"/>
          </w:tcPr>
          <w:p w14:paraId="4E5EF341">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5D85DB7">
            <w:pPr>
              <w:tabs>
                <w:tab w:val="left" w:pos="2604"/>
              </w:tabs>
              <w:spacing w:line="240" w:lineRule="exact"/>
              <w:rPr>
                <w:rFonts w:hint="eastAsia" w:ascii="仿宋_GB2312"/>
                <w:sz w:val="21"/>
                <w:szCs w:val="21"/>
              </w:rPr>
            </w:pPr>
            <w:r>
              <w:rPr>
                <w:rFonts w:hint="eastAsia" w:ascii="仿宋_GB2312"/>
                <w:sz w:val="21"/>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6BCC53C">
            <w:pPr>
              <w:spacing w:line="240" w:lineRule="exact"/>
              <w:rPr>
                <w:rFonts w:hint="eastAsia" w:ascii="仿宋_GB2312"/>
                <w:sz w:val="21"/>
                <w:szCs w:val="21"/>
              </w:rPr>
            </w:pPr>
            <w:r>
              <w:rPr>
                <w:rFonts w:hint="eastAsia" w:ascii="仿宋_GB2312"/>
                <w:sz w:val="21"/>
                <w:szCs w:val="21"/>
              </w:rPr>
              <w:t>①符合国家法律法规、国民经济和社会发展总体规划计1分；②符合部门“三定”方案确定的职责计0.5分；③是否符合部门制定的中长期实施规划计0.5分。</w:t>
            </w:r>
          </w:p>
        </w:tc>
      </w:tr>
      <w:tr w14:paraId="475E07AA">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242514FF">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4779DEB5">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D4370F5">
            <w:pPr>
              <w:spacing w:line="240" w:lineRule="exact"/>
              <w:jc w:val="center"/>
              <w:rPr>
                <w:rFonts w:hint="eastAsia" w:ascii="仿宋_GB2312"/>
                <w:sz w:val="21"/>
                <w:szCs w:val="21"/>
              </w:rPr>
            </w:pPr>
            <w:r>
              <w:rPr>
                <w:rFonts w:hint="eastAsia" w:ascii="仿宋_GB2312"/>
                <w:sz w:val="21"/>
                <w:szCs w:val="21"/>
              </w:rPr>
              <w:t>绩效指标明确性（3分）</w:t>
            </w:r>
          </w:p>
        </w:tc>
        <w:tc>
          <w:tcPr>
            <w:tcW w:w="446" w:type="dxa"/>
            <w:tcBorders>
              <w:top w:val="single" w:color="auto" w:sz="4" w:space="0"/>
              <w:left w:val="nil"/>
              <w:bottom w:val="single" w:color="auto" w:sz="4" w:space="0"/>
              <w:right w:val="single" w:color="auto" w:sz="4" w:space="0"/>
            </w:tcBorders>
            <w:noWrap w:val="0"/>
            <w:vAlign w:val="center"/>
          </w:tcPr>
          <w:p w14:paraId="47DD7933">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D1637D">
            <w:pPr>
              <w:tabs>
                <w:tab w:val="left" w:pos="2604"/>
              </w:tabs>
              <w:spacing w:line="240" w:lineRule="exact"/>
              <w:rPr>
                <w:rFonts w:hint="eastAsia" w:ascii="仿宋_GB2312"/>
                <w:sz w:val="21"/>
                <w:szCs w:val="21"/>
              </w:rPr>
            </w:pPr>
            <w:r>
              <w:rPr>
                <w:rFonts w:hint="eastAsia" w:ascii="仿宋_GB2312"/>
                <w:sz w:val="21"/>
                <w:szCs w:val="21"/>
              </w:rPr>
              <w:t>部门依据整体绩效目标所设定的绩效指标是否清晰、细化、可衡量，用以反映和考核部门整体绩效目标的明细化情况。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40C713F">
            <w:pPr>
              <w:spacing w:line="240" w:lineRule="exact"/>
              <w:rPr>
                <w:rFonts w:hint="eastAsia" w:ascii="仿宋_GB2312"/>
                <w:sz w:val="21"/>
                <w:szCs w:val="21"/>
              </w:rPr>
            </w:pPr>
            <w:r>
              <w:rPr>
                <w:rFonts w:hint="eastAsia" w:ascii="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14:paraId="648C8D6A">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5B3F8603">
            <w:pPr>
              <w:spacing w:line="240" w:lineRule="exact"/>
              <w:jc w:val="center"/>
              <w:rPr>
                <w:rFonts w:hint="eastAsia" w:ascii="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5B7C4E3">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配置（15分）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D0DDE8">
            <w:pPr>
              <w:spacing w:line="240" w:lineRule="exact"/>
              <w:jc w:val="center"/>
              <w:rPr>
                <w:rFonts w:hint="eastAsia" w:ascii="仿宋_GB2312"/>
                <w:sz w:val="21"/>
                <w:szCs w:val="21"/>
              </w:rPr>
            </w:pPr>
            <w:r>
              <w:rPr>
                <w:rFonts w:hint="eastAsia" w:ascii="仿宋_GB2312"/>
                <w:sz w:val="21"/>
                <w:szCs w:val="21"/>
              </w:rPr>
              <w:t>在职人员控制率（5分）</w:t>
            </w:r>
          </w:p>
        </w:tc>
        <w:tc>
          <w:tcPr>
            <w:tcW w:w="446" w:type="dxa"/>
            <w:tcBorders>
              <w:top w:val="single" w:color="auto" w:sz="4" w:space="0"/>
              <w:left w:val="nil"/>
              <w:bottom w:val="single" w:color="auto" w:sz="4" w:space="0"/>
              <w:right w:val="single" w:color="auto" w:sz="4" w:space="0"/>
            </w:tcBorders>
            <w:noWrap w:val="0"/>
            <w:vAlign w:val="center"/>
          </w:tcPr>
          <w:p w14:paraId="3CF76C8B">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26E2263">
            <w:pPr>
              <w:tabs>
                <w:tab w:val="left" w:pos="2604"/>
              </w:tabs>
              <w:spacing w:line="240" w:lineRule="exact"/>
              <w:rPr>
                <w:rFonts w:hint="eastAsia" w:ascii="仿宋_GB2312"/>
                <w:sz w:val="21"/>
                <w:szCs w:val="21"/>
              </w:rPr>
            </w:pPr>
            <w:r>
              <w:rPr>
                <w:rFonts w:hint="eastAsia" w:ascii="仿宋_GB2312"/>
                <w:sz w:val="21"/>
                <w:szCs w:val="21"/>
              </w:rPr>
              <w:t>部门本年度实际在职人员数与编制数的比率，用以反映和考核部门对人员成本的控制程度。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7FEEF9B">
            <w:pPr>
              <w:spacing w:line="240" w:lineRule="exact"/>
              <w:rPr>
                <w:rFonts w:hint="eastAsia" w:ascii="仿宋_GB2312"/>
                <w:sz w:val="21"/>
                <w:szCs w:val="21"/>
              </w:rPr>
            </w:pPr>
            <w:r>
              <w:rPr>
                <w:rFonts w:hint="eastAsia" w:ascii="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196C96BE">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2D036E2F">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24D49EC5">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0444FB5">
            <w:pPr>
              <w:spacing w:line="240" w:lineRule="exact"/>
              <w:jc w:val="center"/>
              <w:rPr>
                <w:rFonts w:hint="eastAsia" w:ascii="仿宋_GB2312"/>
                <w:sz w:val="21"/>
                <w:szCs w:val="21"/>
                <w:highlight w:val="none"/>
              </w:rPr>
            </w:pPr>
            <w:r>
              <w:rPr>
                <w:rFonts w:hint="eastAsia" w:ascii="仿宋_GB2312"/>
                <w:sz w:val="21"/>
                <w:szCs w:val="21"/>
                <w:highlight w:val="none"/>
              </w:rPr>
              <w:t>“三公经费”</w:t>
            </w:r>
          </w:p>
          <w:p w14:paraId="02C04045">
            <w:pPr>
              <w:spacing w:line="240" w:lineRule="exact"/>
              <w:jc w:val="center"/>
              <w:rPr>
                <w:rFonts w:hint="eastAsia" w:ascii="仿宋_GB2312"/>
                <w:sz w:val="21"/>
                <w:szCs w:val="21"/>
                <w:highlight w:val="none"/>
              </w:rPr>
            </w:pPr>
            <w:r>
              <w:rPr>
                <w:rFonts w:hint="eastAsia" w:ascii="仿宋_GB2312"/>
                <w:sz w:val="21"/>
                <w:szCs w:val="21"/>
                <w:highlight w:val="none"/>
              </w:rPr>
              <w:t>变动率（5分）</w:t>
            </w:r>
          </w:p>
        </w:tc>
        <w:tc>
          <w:tcPr>
            <w:tcW w:w="446" w:type="dxa"/>
            <w:tcBorders>
              <w:top w:val="single" w:color="auto" w:sz="4" w:space="0"/>
              <w:left w:val="nil"/>
              <w:bottom w:val="single" w:color="auto" w:sz="4" w:space="0"/>
              <w:right w:val="single" w:color="auto" w:sz="4" w:space="0"/>
            </w:tcBorders>
            <w:noWrap w:val="0"/>
            <w:vAlign w:val="center"/>
          </w:tcPr>
          <w:p w14:paraId="5C656547">
            <w:pPr>
              <w:tabs>
                <w:tab w:val="left" w:pos="2604"/>
              </w:tabs>
              <w:spacing w:line="240" w:lineRule="exact"/>
              <w:jc w:val="center"/>
              <w:rPr>
                <w:rFonts w:hint="default" w:ascii="仿宋_GB2312" w:eastAsia="仿宋_GB2312"/>
                <w:sz w:val="21"/>
                <w:szCs w:val="21"/>
                <w:highlight w:val="none"/>
                <w:lang w:val="en-US" w:eastAsia="zh-CN"/>
              </w:rPr>
            </w:pPr>
            <w:r>
              <w:rPr>
                <w:rFonts w:hint="eastAsia" w:ascii="仿宋_GB2312"/>
                <w:sz w:val="21"/>
                <w:szCs w:val="21"/>
                <w:highlight w:val="none"/>
                <w:lang w:val="en-US" w:eastAsia="zh-CN"/>
              </w:rPr>
              <w:t>4.5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41B1C95">
            <w:pPr>
              <w:tabs>
                <w:tab w:val="left" w:pos="2604"/>
              </w:tabs>
              <w:spacing w:line="240" w:lineRule="exact"/>
              <w:rPr>
                <w:rFonts w:hint="eastAsia" w:ascii="仿宋_GB2312"/>
                <w:sz w:val="21"/>
                <w:szCs w:val="21"/>
                <w:highlight w:val="none"/>
              </w:rPr>
            </w:pPr>
            <w:r>
              <w:rPr>
                <w:rFonts w:hint="eastAsia" w:ascii="仿宋_GB2312"/>
                <w:sz w:val="21"/>
                <w:szCs w:val="21"/>
                <w:highlight w:val="none"/>
              </w:rPr>
              <w:t>部门本年度“三公经费”预算数与上年度“三公经费”预算数的变动比率，用以反映和考核部门对控制重点行政成本的努力程度。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425CF1D">
            <w:pPr>
              <w:spacing w:line="240" w:lineRule="exact"/>
              <w:rPr>
                <w:rFonts w:hint="eastAsia" w:ascii="仿宋_GB2312"/>
                <w:sz w:val="21"/>
                <w:szCs w:val="21"/>
                <w:highlight w:val="none"/>
              </w:rPr>
            </w:pPr>
            <w:r>
              <w:rPr>
                <w:rFonts w:hint="eastAsia" w:ascii="仿宋_GB2312"/>
                <w:sz w:val="21"/>
                <w:szCs w:val="21"/>
                <w:highlight w:val="none"/>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302A7F01">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0A3628A6">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520695C4">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F563158">
            <w:pPr>
              <w:spacing w:line="240" w:lineRule="exact"/>
              <w:jc w:val="center"/>
              <w:rPr>
                <w:rFonts w:hint="eastAsia" w:ascii="仿宋_GB2312"/>
                <w:sz w:val="21"/>
                <w:szCs w:val="21"/>
              </w:rPr>
            </w:pPr>
            <w:r>
              <w:rPr>
                <w:rFonts w:hint="eastAsia" w:ascii="仿宋_GB2312"/>
                <w:sz w:val="21"/>
                <w:szCs w:val="21"/>
              </w:rPr>
              <w:t>重点支出安排率（5分）</w:t>
            </w:r>
          </w:p>
        </w:tc>
        <w:tc>
          <w:tcPr>
            <w:tcW w:w="446" w:type="dxa"/>
            <w:tcBorders>
              <w:top w:val="single" w:color="auto" w:sz="4" w:space="0"/>
              <w:left w:val="nil"/>
              <w:bottom w:val="single" w:color="auto" w:sz="4" w:space="0"/>
              <w:right w:val="single" w:color="auto" w:sz="4" w:space="0"/>
            </w:tcBorders>
            <w:noWrap w:val="0"/>
            <w:vAlign w:val="center"/>
          </w:tcPr>
          <w:p w14:paraId="297B9387">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DE8820">
            <w:pPr>
              <w:tabs>
                <w:tab w:val="left" w:pos="2604"/>
              </w:tabs>
              <w:spacing w:line="240" w:lineRule="exact"/>
              <w:rPr>
                <w:rFonts w:hint="eastAsia" w:ascii="仿宋_GB2312"/>
                <w:sz w:val="21"/>
                <w:szCs w:val="21"/>
              </w:rPr>
            </w:pPr>
            <w:r>
              <w:rPr>
                <w:rFonts w:hint="eastAsia" w:ascii="仿宋_GB2312"/>
                <w:sz w:val="21"/>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A4347D7">
            <w:pPr>
              <w:spacing w:line="240" w:lineRule="exact"/>
              <w:rPr>
                <w:rFonts w:hint="eastAsia" w:ascii="仿宋_GB2312"/>
                <w:sz w:val="21"/>
                <w:szCs w:val="21"/>
              </w:rPr>
            </w:pPr>
            <w:r>
              <w:rPr>
                <w:rFonts w:hint="eastAsia" w:ascii="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5D0854A9">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right w:val="single" w:color="auto" w:sz="4" w:space="0"/>
            </w:tcBorders>
            <w:noWrap/>
            <w:tcMar>
              <w:top w:w="10" w:type="dxa"/>
              <w:left w:w="10" w:type="dxa"/>
              <w:bottom w:w="0" w:type="dxa"/>
              <w:right w:w="10" w:type="dxa"/>
            </w:tcMar>
            <w:textDirection w:val="tbRlV"/>
            <w:vAlign w:val="center"/>
          </w:tcPr>
          <w:p w14:paraId="7801CB10">
            <w:pPr>
              <w:spacing w:line="240" w:lineRule="exact"/>
              <w:jc w:val="center"/>
              <w:rPr>
                <w:rFonts w:hint="eastAsia" w:ascii="仿宋_GB2312"/>
                <w:sz w:val="21"/>
                <w:szCs w:val="21"/>
              </w:rPr>
            </w:pPr>
            <w:r>
              <w:rPr>
                <w:rFonts w:hint="eastAsia" w:ascii="仿宋_GB2312"/>
                <w:sz w:val="21"/>
                <w:szCs w:val="21"/>
              </w:rPr>
              <w:t>过             程（30分）</w:t>
            </w: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4759286E">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执行</w:t>
            </w:r>
          </w:p>
          <w:p w14:paraId="284A8A07">
            <w:pPr>
              <w:spacing w:line="240" w:lineRule="exact"/>
              <w:jc w:val="center"/>
              <w:rPr>
                <w:rFonts w:hint="eastAsia" w:ascii="仿宋_GB2312"/>
                <w:sz w:val="21"/>
                <w:szCs w:val="21"/>
              </w:rPr>
            </w:pPr>
            <w:r>
              <w:rPr>
                <w:rFonts w:hint="eastAsia" w:ascii="仿宋_GB2312"/>
                <w:sz w:val="21"/>
                <w:szCs w:val="21"/>
              </w:rPr>
              <w:t>（20分）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38DF4D8">
            <w:pPr>
              <w:spacing w:line="240" w:lineRule="exact"/>
              <w:jc w:val="center"/>
              <w:rPr>
                <w:rFonts w:hint="eastAsia" w:ascii="仿宋_GB2312"/>
                <w:sz w:val="21"/>
                <w:szCs w:val="21"/>
              </w:rPr>
            </w:pPr>
            <w:r>
              <w:rPr>
                <w:rFonts w:hint="eastAsia" w:ascii="仿宋_GB2312"/>
                <w:sz w:val="21"/>
                <w:szCs w:val="21"/>
              </w:rPr>
              <w:t>预算完成率（4分）</w:t>
            </w:r>
          </w:p>
        </w:tc>
        <w:tc>
          <w:tcPr>
            <w:tcW w:w="446" w:type="dxa"/>
            <w:tcBorders>
              <w:top w:val="single" w:color="auto" w:sz="4" w:space="0"/>
              <w:left w:val="nil"/>
              <w:bottom w:val="single" w:color="auto" w:sz="4" w:space="0"/>
              <w:right w:val="single" w:color="auto" w:sz="4" w:space="0"/>
            </w:tcBorders>
            <w:noWrap w:val="0"/>
            <w:vAlign w:val="center"/>
          </w:tcPr>
          <w:p w14:paraId="0A92708E">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688346E">
            <w:pPr>
              <w:tabs>
                <w:tab w:val="left" w:pos="2604"/>
              </w:tabs>
              <w:spacing w:line="240" w:lineRule="exact"/>
              <w:rPr>
                <w:rFonts w:hint="eastAsia" w:ascii="仿宋_GB2312"/>
                <w:sz w:val="21"/>
                <w:szCs w:val="21"/>
              </w:rPr>
            </w:pPr>
            <w:r>
              <w:rPr>
                <w:rFonts w:hint="eastAsia" w:ascii="仿宋_GB2312"/>
                <w:sz w:val="21"/>
                <w:szCs w:val="21"/>
              </w:rPr>
              <w:t>部门本年度预算完成数与预算数的比率，用以反映和考核部门预算完成程度。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32EED9E">
            <w:pPr>
              <w:spacing w:line="240" w:lineRule="exact"/>
              <w:rPr>
                <w:rFonts w:hint="eastAsia" w:ascii="仿宋_GB2312"/>
                <w:sz w:val="21"/>
                <w:szCs w:val="21"/>
              </w:rPr>
            </w:pPr>
            <w:r>
              <w:rPr>
                <w:rFonts w:hint="eastAsia" w:ascii="仿宋_GB2312"/>
                <w:sz w:val="21"/>
                <w:szCs w:val="21"/>
              </w:rPr>
              <w:t>预算完成率=（预算完成数/预算数）×100%。完成年初预算计4分，未完成年初预算按比例扣减，预算完成数：部门本年度实际完成的预算数。预算数：财政部门批复的本年度部门预算数。</w:t>
            </w:r>
          </w:p>
        </w:tc>
      </w:tr>
      <w:tr w14:paraId="2076AA87">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67EB0007">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14:paraId="5CA4C488">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CF65410">
            <w:pPr>
              <w:spacing w:line="240" w:lineRule="exact"/>
              <w:jc w:val="center"/>
              <w:rPr>
                <w:rFonts w:hint="eastAsia" w:ascii="仿宋_GB2312"/>
                <w:sz w:val="21"/>
                <w:szCs w:val="21"/>
              </w:rPr>
            </w:pPr>
            <w:r>
              <w:rPr>
                <w:rFonts w:hint="eastAsia" w:ascii="仿宋_GB2312"/>
                <w:sz w:val="21"/>
                <w:szCs w:val="21"/>
              </w:rPr>
              <w:t>预算调整率（2分）</w:t>
            </w:r>
          </w:p>
        </w:tc>
        <w:tc>
          <w:tcPr>
            <w:tcW w:w="446" w:type="dxa"/>
            <w:tcBorders>
              <w:top w:val="single" w:color="auto" w:sz="4" w:space="0"/>
              <w:left w:val="nil"/>
              <w:bottom w:val="single" w:color="auto" w:sz="4" w:space="0"/>
              <w:right w:val="single" w:color="auto" w:sz="4" w:space="0"/>
            </w:tcBorders>
            <w:noWrap w:val="0"/>
            <w:vAlign w:val="center"/>
          </w:tcPr>
          <w:p w14:paraId="3198F0E4">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71C3F1">
            <w:pPr>
              <w:tabs>
                <w:tab w:val="left" w:pos="2604"/>
              </w:tabs>
              <w:spacing w:line="240" w:lineRule="exact"/>
              <w:rPr>
                <w:rFonts w:hint="eastAsia" w:ascii="仿宋_GB2312"/>
                <w:sz w:val="21"/>
                <w:szCs w:val="21"/>
              </w:rPr>
            </w:pPr>
            <w:r>
              <w:rPr>
                <w:rFonts w:hint="eastAsia" w:ascii="仿宋_GB2312"/>
                <w:sz w:val="21"/>
                <w:szCs w:val="21"/>
              </w:rPr>
              <w:t>部门本年度预算调整数与预算数的比率，用以反映和考核部门预算的调整程度。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D283FF">
            <w:pPr>
              <w:spacing w:line="240" w:lineRule="exact"/>
              <w:rPr>
                <w:rFonts w:hint="eastAsia" w:ascii="仿宋_GB2312"/>
                <w:sz w:val="21"/>
                <w:szCs w:val="21"/>
              </w:rPr>
            </w:pPr>
            <w:r>
              <w:rPr>
                <w:rFonts w:hint="eastAsia" w:ascii="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738399AE">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0BA61F12">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14:paraId="5276960B">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9884404">
            <w:pPr>
              <w:spacing w:line="240" w:lineRule="exact"/>
              <w:jc w:val="center"/>
              <w:rPr>
                <w:rFonts w:hint="eastAsia" w:ascii="仿宋_GB2312"/>
                <w:sz w:val="21"/>
                <w:szCs w:val="21"/>
              </w:rPr>
            </w:pPr>
            <w:r>
              <w:rPr>
                <w:rFonts w:hint="eastAsia" w:ascii="仿宋_GB2312"/>
                <w:sz w:val="21"/>
                <w:szCs w:val="21"/>
              </w:rPr>
              <w:t>支付进度率（2分）</w:t>
            </w:r>
          </w:p>
        </w:tc>
        <w:tc>
          <w:tcPr>
            <w:tcW w:w="446" w:type="dxa"/>
            <w:tcBorders>
              <w:top w:val="single" w:color="auto" w:sz="4" w:space="0"/>
              <w:left w:val="nil"/>
              <w:bottom w:val="single" w:color="auto" w:sz="4" w:space="0"/>
              <w:right w:val="single" w:color="auto" w:sz="4" w:space="0"/>
            </w:tcBorders>
            <w:noWrap w:val="0"/>
            <w:vAlign w:val="center"/>
          </w:tcPr>
          <w:p w14:paraId="4237CF67">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1D8AC7B">
            <w:pPr>
              <w:tabs>
                <w:tab w:val="left" w:pos="2604"/>
              </w:tabs>
              <w:spacing w:line="240" w:lineRule="exact"/>
              <w:rPr>
                <w:rFonts w:hint="eastAsia" w:ascii="仿宋_GB2312"/>
                <w:sz w:val="21"/>
                <w:szCs w:val="21"/>
              </w:rPr>
            </w:pPr>
            <w:r>
              <w:rPr>
                <w:rFonts w:hint="eastAsia" w:ascii="仿宋_GB2312"/>
                <w:sz w:val="21"/>
                <w:szCs w:val="21"/>
              </w:rPr>
              <w:t>部门实际支付进度与既定支付进度的比率，用以反映和考核部门预算执行的及时性和均衡性程度。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37B5CE">
            <w:pPr>
              <w:spacing w:line="240" w:lineRule="exact"/>
              <w:rPr>
                <w:rFonts w:hint="eastAsia" w:ascii="仿宋_GB2312"/>
                <w:sz w:val="21"/>
                <w:szCs w:val="21"/>
              </w:rPr>
            </w:pPr>
            <w:r>
              <w:rPr>
                <w:rFonts w:hint="eastAsia" w:ascii="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7C91AEE4">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14:paraId="013BF0BE">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tcMar>
              <w:top w:w="10" w:type="dxa"/>
              <w:left w:w="10" w:type="dxa"/>
              <w:bottom w:w="0" w:type="dxa"/>
              <w:right w:w="10" w:type="dxa"/>
            </w:tcMar>
            <w:vAlign w:val="center"/>
          </w:tcPr>
          <w:p w14:paraId="7B94C215">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426E313">
            <w:pPr>
              <w:spacing w:line="240" w:lineRule="exact"/>
              <w:jc w:val="center"/>
              <w:rPr>
                <w:rFonts w:hint="eastAsia" w:ascii="仿宋_GB2312"/>
                <w:sz w:val="21"/>
                <w:szCs w:val="21"/>
              </w:rPr>
            </w:pPr>
            <w:r>
              <w:rPr>
                <w:rFonts w:hint="eastAsia" w:ascii="仿宋_GB2312"/>
                <w:sz w:val="21"/>
                <w:szCs w:val="21"/>
              </w:rPr>
              <w:t>结转结余控制率（4分）</w:t>
            </w:r>
          </w:p>
        </w:tc>
        <w:tc>
          <w:tcPr>
            <w:tcW w:w="446" w:type="dxa"/>
            <w:tcBorders>
              <w:top w:val="single" w:color="auto" w:sz="4" w:space="0"/>
              <w:left w:val="nil"/>
              <w:bottom w:val="single" w:color="auto" w:sz="4" w:space="0"/>
              <w:right w:val="single" w:color="auto" w:sz="4" w:space="0"/>
            </w:tcBorders>
            <w:noWrap w:val="0"/>
            <w:vAlign w:val="center"/>
          </w:tcPr>
          <w:p w14:paraId="3D24AB3D">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0</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619AC9A">
            <w:pPr>
              <w:tabs>
                <w:tab w:val="left" w:pos="2604"/>
              </w:tabs>
              <w:spacing w:line="240" w:lineRule="exact"/>
              <w:rPr>
                <w:rFonts w:hint="eastAsia" w:ascii="仿宋_GB2312"/>
                <w:sz w:val="21"/>
                <w:szCs w:val="21"/>
              </w:rPr>
            </w:pPr>
            <w:r>
              <w:rPr>
                <w:rFonts w:hint="eastAsia" w:ascii="仿宋_GB2312"/>
                <w:sz w:val="21"/>
                <w:szCs w:val="21"/>
              </w:rPr>
              <w:t>部门本年度结转结余总额与上年结转结余总额增减比例，用以反映和考核部门对存量资金的实际控制程度。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DEF7C7E">
            <w:pPr>
              <w:spacing w:line="240" w:lineRule="exact"/>
              <w:rPr>
                <w:rFonts w:hint="eastAsia" w:ascii="仿宋_GB2312"/>
                <w:sz w:val="21"/>
                <w:szCs w:val="21"/>
              </w:rPr>
            </w:pPr>
            <w:r>
              <w:rPr>
                <w:rFonts w:hint="eastAsia" w:ascii="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073E4811">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0BA63FF8">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14:paraId="32DD178C">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B53923A">
            <w:pPr>
              <w:spacing w:line="240" w:lineRule="exact"/>
              <w:jc w:val="center"/>
              <w:rPr>
                <w:rFonts w:hint="eastAsia" w:ascii="仿宋_GB2312"/>
                <w:sz w:val="21"/>
                <w:szCs w:val="21"/>
              </w:rPr>
            </w:pPr>
            <w:r>
              <w:rPr>
                <w:rFonts w:hint="eastAsia" w:ascii="仿宋_GB2312"/>
                <w:sz w:val="21"/>
                <w:szCs w:val="21"/>
              </w:rPr>
              <w:t>公用经费</w:t>
            </w:r>
          </w:p>
          <w:p w14:paraId="38BDC511">
            <w:pPr>
              <w:spacing w:line="240" w:lineRule="exact"/>
              <w:jc w:val="center"/>
              <w:rPr>
                <w:rFonts w:hint="eastAsia" w:ascii="仿宋_GB2312"/>
                <w:sz w:val="21"/>
                <w:szCs w:val="21"/>
              </w:rPr>
            </w:pPr>
            <w:r>
              <w:rPr>
                <w:rFonts w:hint="eastAsia" w:ascii="仿宋_GB2312"/>
                <w:sz w:val="21"/>
                <w:szCs w:val="21"/>
              </w:rPr>
              <w:t>控制率（2分）</w:t>
            </w:r>
          </w:p>
        </w:tc>
        <w:tc>
          <w:tcPr>
            <w:tcW w:w="446" w:type="dxa"/>
            <w:tcBorders>
              <w:top w:val="single" w:color="auto" w:sz="4" w:space="0"/>
              <w:left w:val="nil"/>
              <w:bottom w:val="single" w:color="auto" w:sz="4" w:space="0"/>
              <w:right w:val="single" w:color="auto" w:sz="4" w:space="0"/>
            </w:tcBorders>
            <w:noWrap w:val="0"/>
            <w:vAlign w:val="center"/>
          </w:tcPr>
          <w:p w14:paraId="1DFE2627">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5FAA9CE">
            <w:pPr>
              <w:tabs>
                <w:tab w:val="left" w:pos="2604"/>
              </w:tabs>
              <w:spacing w:line="240" w:lineRule="exact"/>
              <w:rPr>
                <w:rFonts w:hint="eastAsia" w:ascii="仿宋_GB2312"/>
                <w:sz w:val="21"/>
                <w:szCs w:val="21"/>
              </w:rPr>
            </w:pPr>
            <w:r>
              <w:rPr>
                <w:rFonts w:hint="eastAsia" w:ascii="仿宋_GB2312"/>
                <w:sz w:val="21"/>
                <w:szCs w:val="21"/>
              </w:rPr>
              <w:t>部门本年度实际支出的公用经费总额与预算安排的公用经费总额的比率，用以反映和考核部门对机构运转成本的实际控制程度。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0A48597">
            <w:pPr>
              <w:spacing w:line="240" w:lineRule="exact"/>
              <w:rPr>
                <w:rFonts w:hint="eastAsia" w:ascii="仿宋_GB2312"/>
                <w:sz w:val="21"/>
                <w:szCs w:val="21"/>
              </w:rPr>
            </w:pPr>
            <w:r>
              <w:rPr>
                <w:rFonts w:hint="eastAsia" w:ascii="仿宋_GB2312"/>
                <w:sz w:val="21"/>
                <w:szCs w:val="21"/>
              </w:rPr>
              <w:t>公用经费控制率=（实际支出公用经费总额/预算安排公用经费总额）×100%。为100%的计2分，每超过1个百分点扣0.1分，扣完为止。</w:t>
            </w:r>
          </w:p>
        </w:tc>
      </w:tr>
      <w:tr w14:paraId="5D73E655">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6C170814">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14:paraId="0A26378E">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5249CBB">
            <w:pPr>
              <w:spacing w:line="240" w:lineRule="exact"/>
              <w:jc w:val="center"/>
              <w:rPr>
                <w:rFonts w:hint="eastAsia" w:ascii="仿宋_GB2312"/>
                <w:sz w:val="21"/>
                <w:szCs w:val="21"/>
                <w:highlight w:val="none"/>
              </w:rPr>
            </w:pPr>
            <w:r>
              <w:rPr>
                <w:rFonts w:hint="eastAsia" w:ascii="仿宋_GB2312"/>
                <w:sz w:val="21"/>
                <w:szCs w:val="21"/>
                <w:highlight w:val="none"/>
              </w:rPr>
              <w:t>“三公经费”控制率（2分）</w:t>
            </w:r>
          </w:p>
        </w:tc>
        <w:tc>
          <w:tcPr>
            <w:tcW w:w="446" w:type="dxa"/>
            <w:tcBorders>
              <w:top w:val="single" w:color="auto" w:sz="4" w:space="0"/>
              <w:left w:val="nil"/>
              <w:bottom w:val="single" w:color="auto" w:sz="4" w:space="0"/>
              <w:right w:val="single" w:color="auto" w:sz="4" w:space="0"/>
            </w:tcBorders>
            <w:noWrap w:val="0"/>
            <w:vAlign w:val="center"/>
          </w:tcPr>
          <w:p w14:paraId="5539B8E2">
            <w:pPr>
              <w:tabs>
                <w:tab w:val="left" w:pos="2604"/>
              </w:tabs>
              <w:spacing w:line="240" w:lineRule="exact"/>
              <w:jc w:val="center"/>
              <w:rPr>
                <w:rFonts w:hint="default" w:ascii="仿宋_GB2312" w:eastAsia="仿宋_GB2312"/>
                <w:sz w:val="21"/>
                <w:szCs w:val="21"/>
                <w:highlight w:val="none"/>
                <w:lang w:val="en-US" w:eastAsia="zh-CN"/>
              </w:rPr>
            </w:pPr>
            <w:r>
              <w:rPr>
                <w:rFonts w:hint="eastAsia" w:ascii="仿宋_GB2312"/>
                <w:sz w:val="21"/>
                <w:szCs w:val="21"/>
                <w:highlight w:val="none"/>
                <w:lang w:val="en-US" w:eastAsia="zh-CN"/>
              </w:rPr>
              <w:t>1.5</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4A53346">
            <w:pPr>
              <w:tabs>
                <w:tab w:val="left" w:pos="2604"/>
              </w:tabs>
              <w:spacing w:line="240" w:lineRule="exact"/>
              <w:rPr>
                <w:rFonts w:hint="eastAsia" w:ascii="仿宋_GB2312"/>
                <w:sz w:val="21"/>
                <w:szCs w:val="21"/>
                <w:highlight w:val="none"/>
              </w:rPr>
            </w:pPr>
            <w:r>
              <w:rPr>
                <w:rFonts w:hint="eastAsia" w:ascii="仿宋_GB2312"/>
                <w:sz w:val="21"/>
                <w:szCs w:val="21"/>
                <w:highlight w:val="none"/>
              </w:rPr>
              <w:t>部门本年度“三公经费”实际支出数与预算安排数的比率，用以反映和考核部门对“三公经费”的实际控制程度。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D4DD2C8">
            <w:pPr>
              <w:spacing w:line="240" w:lineRule="exact"/>
              <w:rPr>
                <w:rFonts w:hint="eastAsia" w:ascii="仿宋_GB2312"/>
                <w:sz w:val="21"/>
                <w:szCs w:val="21"/>
                <w:highlight w:val="none"/>
              </w:rPr>
            </w:pPr>
            <w:r>
              <w:rPr>
                <w:rFonts w:hint="eastAsia" w:ascii="仿宋_GB2312"/>
                <w:sz w:val="21"/>
                <w:szCs w:val="21"/>
                <w:highlight w:val="none"/>
              </w:rPr>
              <w:t>“三公经费”控制率=（“三公经费”实际支出数/“三公经费”预算安排数）×100%。为100%的计2分，每超过1个百分点扣0.5分，扣完为止。</w:t>
            </w:r>
          </w:p>
        </w:tc>
      </w:tr>
      <w:tr w14:paraId="68140C27">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42E37F0B">
            <w:pPr>
              <w:spacing w:line="240" w:lineRule="exact"/>
              <w:jc w:val="center"/>
              <w:rPr>
                <w:rFonts w:hint="eastAsia" w:ascii="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14:paraId="0BE00E10">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B50286B">
            <w:pPr>
              <w:spacing w:line="240" w:lineRule="exact"/>
              <w:jc w:val="center"/>
              <w:rPr>
                <w:rFonts w:hint="eastAsia" w:ascii="仿宋_GB2312"/>
                <w:sz w:val="21"/>
                <w:szCs w:val="21"/>
              </w:rPr>
            </w:pPr>
            <w:r>
              <w:rPr>
                <w:rFonts w:hint="eastAsia" w:ascii="仿宋_GB2312"/>
                <w:sz w:val="21"/>
                <w:szCs w:val="21"/>
              </w:rPr>
              <w:t>政府采购</w:t>
            </w:r>
          </w:p>
          <w:p w14:paraId="20528107">
            <w:pPr>
              <w:spacing w:line="240" w:lineRule="exact"/>
              <w:jc w:val="center"/>
              <w:rPr>
                <w:rFonts w:hint="eastAsia" w:ascii="仿宋_GB2312"/>
                <w:sz w:val="21"/>
                <w:szCs w:val="21"/>
              </w:rPr>
            </w:pPr>
            <w:r>
              <w:rPr>
                <w:rFonts w:hint="eastAsia" w:ascii="仿宋_GB2312"/>
                <w:sz w:val="21"/>
                <w:szCs w:val="21"/>
              </w:rPr>
              <w:t>执行率（4分）</w:t>
            </w:r>
          </w:p>
        </w:tc>
        <w:tc>
          <w:tcPr>
            <w:tcW w:w="446" w:type="dxa"/>
            <w:tcBorders>
              <w:top w:val="single" w:color="auto" w:sz="4" w:space="0"/>
              <w:left w:val="nil"/>
              <w:bottom w:val="single" w:color="auto" w:sz="4" w:space="0"/>
              <w:right w:val="single" w:color="auto" w:sz="4" w:space="0"/>
            </w:tcBorders>
            <w:noWrap w:val="0"/>
            <w:vAlign w:val="center"/>
          </w:tcPr>
          <w:p w14:paraId="71FA5A4C">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84C75F7">
            <w:pPr>
              <w:tabs>
                <w:tab w:val="left" w:pos="2604"/>
              </w:tabs>
              <w:spacing w:line="240" w:lineRule="exact"/>
              <w:rPr>
                <w:rFonts w:hint="eastAsia" w:ascii="仿宋_GB2312"/>
                <w:sz w:val="21"/>
                <w:szCs w:val="21"/>
              </w:rPr>
            </w:pPr>
            <w:r>
              <w:rPr>
                <w:rFonts w:hint="eastAsia" w:ascii="仿宋_GB2312"/>
                <w:sz w:val="21"/>
                <w:szCs w:val="21"/>
              </w:rPr>
              <w:t>部门本年度实际政府采购金额与年初政府采购预算的比率，用以反映和考核部门政府采购预算执行情况。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31BDAA0">
            <w:pPr>
              <w:spacing w:line="240" w:lineRule="exact"/>
              <w:rPr>
                <w:rFonts w:hint="eastAsia" w:ascii="仿宋_GB2312"/>
                <w:sz w:val="21"/>
                <w:szCs w:val="21"/>
              </w:rPr>
            </w:pPr>
            <w:r>
              <w:rPr>
                <w:rFonts w:hint="eastAsia" w:ascii="仿宋_GB2312"/>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53DED760">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4537525B">
            <w:pPr>
              <w:spacing w:line="240" w:lineRule="exact"/>
              <w:jc w:val="center"/>
              <w:rPr>
                <w:rFonts w:hint="eastAsia" w:ascii="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D805B04">
            <w:pPr>
              <w:spacing w:line="240" w:lineRule="exact"/>
              <w:jc w:val="center"/>
              <w:rPr>
                <w:rFonts w:hint="eastAsia" w:ascii="仿宋_GB2312"/>
                <w:sz w:val="21"/>
                <w:szCs w:val="21"/>
              </w:rPr>
            </w:pPr>
            <w:r>
              <w:rPr>
                <w:rFonts w:hint="eastAsia" w:ascii="仿宋_GB2312"/>
                <w:sz w:val="21"/>
                <w:szCs w:val="21"/>
              </w:rPr>
              <w:t>预算</w:t>
            </w:r>
          </w:p>
          <w:p w14:paraId="19754B02">
            <w:pPr>
              <w:spacing w:line="240" w:lineRule="exact"/>
              <w:jc w:val="center"/>
              <w:rPr>
                <w:rFonts w:hint="eastAsia" w:ascii="仿宋_GB2312"/>
                <w:sz w:val="21"/>
                <w:szCs w:val="21"/>
              </w:rPr>
            </w:pPr>
            <w:r>
              <w:rPr>
                <w:rFonts w:hint="eastAsia" w:ascii="仿宋_GB2312"/>
                <w:sz w:val="21"/>
                <w:szCs w:val="21"/>
              </w:rPr>
              <w:t>管理</w:t>
            </w:r>
          </w:p>
          <w:p w14:paraId="1C82BA3F">
            <w:pPr>
              <w:spacing w:line="240" w:lineRule="exact"/>
              <w:jc w:val="center"/>
              <w:rPr>
                <w:rFonts w:hint="eastAsia" w:ascii="仿宋_GB2312"/>
                <w:sz w:val="21"/>
                <w:szCs w:val="21"/>
              </w:rPr>
            </w:pPr>
            <w:r>
              <w:rPr>
                <w:rFonts w:hint="eastAsia" w:ascii="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6B5C453">
            <w:pPr>
              <w:spacing w:line="240" w:lineRule="exact"/>
              <w:jc w:val="center"/>
              <w:rPr>
                <w:rFonts w:hint="eastAsia" w:ascii="仿宋_GB2312"/>
                <w:sz w:val="21"/>
                <w:szCs w:val="21"/>
              </w:rPr>
            </w:pPr>
            <w:r>
              <w:rPr>
                <w:rFonts w:hint="eastAsia" w:ascii="仿宋_GB2312"/>
                <w:sz w:val="21"/>
                <w:szCs w:val="21"/>
              </w:rPr>
              <w:t>管理制度</w:t>
            </w:r>
          </w:p>
          <w:p w14:paraId="2C057146">
            <w:pPr>
              <w:spacing w:line="240" w:lineRule="exact"/>
              <w:jc w:val="center"/>
              <w:rPr>
                <w:rFonts w:hint="eastAsia" w:ascii="仿宋_GB2312"/>
                <w:sz w:val="21"/>
                <w:szCs w:val="21"/>
              </w:rPr>
            </w:pPr>
            <w:r>
              <w:rPr>
                <w:rFonts w:hint="eastAsia" w:ascii="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14:paraId="158F6624">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6DA0AE4">
            <w:pPr>
              <w:tabs>
                <w:tab w:val="left" w:pos="2604"/>
              </w:tabs>
              <w:spacing w:line="240" w:lineRule="exact"/>
              <w:rPr>
                <w:rFonts w:hint="eastAsia" w:ascii="仿宋_GB2312"/>
                <w:sz w:val="21"/>
                <w:szCs w:val="21"/>
              </w:rPr>
            </w:pPr>
            <w:r>
              <w:rPr>
                <w:rFonts w:hint="eastAsia" w:ascii="仿宋_GB2312"/>
                <w:sz w:val="21"/>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8A72B3">
            <w:pPr>
              <w:spacing w:line="240" w:lineRule="exact"/>
              <w:rPr>
                <w:rFonts w:hint="eastAsia" w:ascii="仿宋_GB2312"/>
                <w:sz w:val="21"/>
                <w:szCs w:val="21"/>
              </w:rPr>
            </w:pPr>
            <w:r>
              <w:rPr>
                <w:rFonts w:hint="eastAsia" w:ascii="仿宋_GB2312"/>
                <w:sz w:val="21"/>
                <w:szCs w:val="21"/>
              </w:rPr>
              <w:t>已制定或具有预算资金管理办法、内部财务管理制度、会计核算制度等管理制度计1分；相关管理制度合法、合规、完整计0.5分；相关管理制度得到有效执行计0.5分。</w:t>
            </w:r>
          </w:p>
        </w:tc>
      </w:tr>
      <w:tr w14:paraId="747C3AB1">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418BB491">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1D754F5E">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6E00062">
            <w:pPr>
              <w:spacing w:line="240" w:lineRule="exact"/>
              <w:jc w:val="center"/>
              <w:rPr>
                <w:rFonts w:hint="eastAsia" w:ascii="仿宋_GB2312"/>
                <w:sz w:val="21"/>
                <w:szCs w:val="21"/>
              </w:rPr>
            </w:pPr>
            <w:r>
              <w:rPr>
                <w:rFonts w:hint="eastAsia" w:ascii="仿宋_GB2312"/>
                <w:sz w:val="21"/>
                <w:szCs w:val="21"/>
              </w:rPr>
              <w:t>资金使用</w:t>
            </w:r>
          </w:p>
          <w:p w14:paraId="5CDB59E0">
            <w:pPr>
              <w:spacing w:line="240" w:lineRule="exact"/>
              <w:jc w:val="center"/>
              <w:rPr>
                <w:rFonts w:hint="eastAsia" w:ascii="仿宋_GB2312"/>
                <w:sz w:val="21"/>
                <w:szCs w:val="21"/>
              </w:rPr>
            </w:pPr>
            <w:r>
              <w:rPr>
                <w:rFonts w:hint="eastAsia" w:ascii="仿宋_GB2312"/>
                <w:sz w:val="21"/>
                <w:szCs w:val="21"/>
              </w:rPr>
              <w:t>合规性（1分）</w:t>
            </w:r>
          </w:p>
        </w:tc>
        <w:tc>
          <w:tcPr>
            <w:tcW w:w="446" w:type="dxa"/>
            <w:tcBorders>
              <w:top w:val="single" w:color="auto" w:sz="4" w:space="0"/>
              <w:left w:val="nil"/>
              <w:bottom w:val="single" w:color="auto" w:sz="4" w:space="0"/>
              <w:right w:val="single" w:color="auto" w:sz="4" w:space="0"/>
            </w:tcBorders>
            <w:noWrap w:val="0"/>
            <w:vAlign w:val="center"/>
          </w:tcPr>
          <w:p w14:paraId="62251624">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9D494A9">
            <w:pPr>
              <w:tabs>
                <w:tab w:val="left" w:pos="2604"/>
              </w:tabs>
              <w:spacing w:line="240" w:lineRule="exact"/>
              <w:rPr>
                <w:rFonts w:hint="eastAsia" w:ascii="仿宋_GB2312"/>
                <w:sz w:val="21"/>
                <w:szCs w:val="21"/>
              </w:rPr>
            </w:pPr>
            <w:r>
              <w:rPr>
                <w:rFonts w:hint="eastAsia" w:ascii="仿宋_GB2312"/>
                <w:sz w:val="21"/>
                <w:szCs w:val="21"/>
              </w:rPr>
              <w:t>部门使用预算资金是否符合相关的预算财务管理制度的规定，用以反映和考核部门预算资金的规范运行情况。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906E1B8">
            <w:pPr>
              <w:spacing w:line="240" w:lineRule="exact"/>
              <w:rPr>
                <w:rFonts w:hint="eastAsia" w:ascii="仿宋_GB2312"/>
                <w:sz w:val="21"/>
                <w:szCs w:val="21"/>
              </w:rPr>
            </w:pPr>
            <w:r>
              <w:rPr>
                <w:rFonts w:hint="eastAsia" w:ascii="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05F64D31">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2C762543">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263EA0F3">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E30D55C">
            <w:pPr>
              <w:spacing w:line="240" w:lineRule="exact"/>
              <w:jc w:val="center"/>
              <w:rPr>
                <w:rFonts w:hint="eastAsia" w:ascii="仿宋_GB2312"/>
                <w:sz w:val="21"/>
                <w:szCs w:val="21"/>
              </w:rPr>
            </w:pPr>
            <w:r>
              <w:rPr>
                <w:rFonts w:hint="eastAsia" w:ascii="仿宋_GB2312"/>
                <w:sz w:val="21"/>
                <w:szCs w:val="21"/>
              </w:rPr>
              <w:t>预决算信</w:t>
            </w:r>
          </w:p>
          <w:p w14:paraId="66A090F6">
            <w:pPr>
              <w:spacing w:line="240" w:lineRule="exact"/>
              <w:jc w:val="center"/>
              <w:rPr>
                <w:rFonts w:hint="eastAsia" w:ascii="仿宋_GB2312"/>
                <w:sz w:val="21"/>
                <w:szCs w:val="21"/>
              </w:rPr>
            </w:pPr>
            <w:r>
              <w:rPr>
                <w:rFonts w:hint="eastAsia" w:ascii="仿宋_GB2312"/>
                <w:sz w:val="21"/>
                <w:szCs w:val="21"/>
              </w:rPr>
              <w:t>息公开性（1分）</w:t>
            </w:r>
          </w:p>
        </w:tc>
        <w:tc>
          <w:tcPr>
            <w:tcW w:w="446" w:type="dxa"/>
            <w:tcBorders>
              <w:top w:val="single" w:color="auto" w:sz="4" w:space="0"/>
              <w:left w:val="nil"/>
              <w:bottom w:val="single" w:color="auto" w:sz="4" w:space="0"/>
              <w:right w:val="single" w:color="auto" w:sz="4" w:space="0"/>
            </w:tcBorders>
            <w:noWrap w:val="0"/>
            <w:vAlign w:val="center"/>
          </w:tcPr>
          <w:p w14:paraId="2F591F3C">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E4F9AD">
            <w:pPr>
              <w:tabs>
                <w:tab w:val="left" w:pos="2604"/>
              </w:tabs>
              <w:spacing w:line="240" w:lineRule="exact"/>
              <w:rPr>
                <w:rFonts w:hint="eastAsia" w:ascii="仿宋_GB2312"/>
                <w:sz w:val="21"/>
                <w:szCs w:val="21"/>
              </w:rPr>
            </w:pPr>
            <w:r>
              <w:rPr>
                <w:rFonts w:hint="eastAsia" w:ascii="仿宋_GB2312"/>
                <w:sz w:val="21"/>
                <w:szCs w:val="21"/>
              </w:rPr>
              <w:t>部门是否按照政府信息公开有关规定公开相关预决算信息，用以反映和考核部门预决算管理的公开透明情况。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46DE972">
            <w:pPr>
              <w:spacing w:line="240" w:lineRule="exact"/>
              <w:rPr>
                <w:rFonts w:hint="eastAsia" w:ascii="仿宋_GB2312"/>
                <w:sz w:val="21"/>
                <w:szCs w:val="21"/>
              </w:rPr>
            </w:pPr>
            <w:r>
              <w:rPr>
                <w:rFonts w:hint="eastAsia" w:ascii="仿宋_GB2312"/>
                <w:sz w:val="21"/>
                <w:szCs w:val="21"/>
              </w:rPr>
              <w:t>①按规定内容公开预决算信息计0.5分；②按规定时限公开预决算信息计0.5分。预决算信息是指与部门预算、执行、决算、监督、绩效等管理相关的信息。</w:t>
            </w:r>
          </w:p>
        </w:tc>
      </w:tr>
      <w:tr w14:paraId="240ED97B">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429704CA">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1602F7FC">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4833A67">
            <w:pPr>
              <w:spacing w:line="240" w:lineRule="exact"/>
              <w:jc w:val="center"/>
              <w:rPr>
                <w:rFonts w:hint="eastAsia" w:ascii="仿宋_GB2312"/>
                <w:sz w:val="21"/>
                <w:szCs w:val="21"/>
              </w:rPr>
            </w:pPr>
            <w:r>
              <w:rPr>
                <w:rFonts w:hint="eastAsia" w:ascii="仿宋_GB2312"/>
                <w:sz w:val="21"/>
                <w:szCs w:val="21"/>
              </w:rPr>
              <w:t>基础信息</w:t>
            </w:r>
          </w:p>
          <w:p w14:paraId="3FFD2EFB">
            <w:pPr>
              <w:spacing w:line="240" w:lineRule="exact"/>
              <w:jc w:val="center"/>
              <w:rPr>
                <w:rFonts w:hint="eastAsia" w:ascii="仿宋_GB2312"/>
                <w:sz w:val="21"/>
                <w:szCs w:val="21"/>
              </w:rPr>
            </w:pPr>
            <w:r>
              <w:rPr>
                <w:rFonts w:hint="eastAsia" w:ascii="仿宋_GB2312"/>
                <w:sz w:val="21"/>
                <w:szCs w:val="21"/>
              </w:rPr>
              <w:t>完善性（1分）</w:t>
            </w:r>
          </w:p>
        </w:tc>
        <w:tc>
          <w:tcPr>
            <w:tcW w:w="446" w:type="dxa"/>
            <w:tcBorders>
              <w:top w:val="single" w:color="auto" w:sz="4" w:space="0"/>
              <w:left w:val="nil"/>
              <w:bottom w:val="single" w:color="auto" w:sz="4" w:space="0"/>
              <w:right w:val="single" w:color="auto" w:sz="4" w:space="0"/>
            </w:tcBorders>
            <w:noWrap w:val="0"/>
            <w:vAlign w:val="center"/>
          </w:tcPr>
          <w:p w14:paraId="7EB56AF3">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FD96CD1">
            <w:pPr>
              <w:tabs>
                <w:tab w:val="left" w:pos="2604"/>
              </w:tabs>
              <w:spacing w:line="240" w:lineRule="exact"/>
              <w:rPr>
                <w:rFonts w:hint="eastAsia" w:ascii="仿宋_GB2312"/>
                <w:sz w:val="21"/>
                <w:szCs w:val="21"/>
              </w:rPr>
            </w:pPr>
            <w:r>
              <w:rPr>
                <w:rFonts w:hint="eastAsia" w:ascii="仿宋_GB2312"/>
                <w:sz w:val="21"/>
                <w:szCs w:val="21"/>
              </w:rPr>
              <w:t>部门基础信息是否完善，用以反映和考核基础信息对预算管理工作的支撑情况。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1FD174F">
            <w:pPr>
              <w:spacing w:line="240" w:lineRule="exact"/>
              <w:rPr>
                <w:rFonts w:hint="eastAsia" w:ascii="仿宋_GB2312"/>
                <w:sz w:val="21"/>
                <w:szCs w:val="21"/>
              </w:rPr>
            </w:pPr>
            <w:r>
              <w:rPr>
                <w:rFonts w:hint="eastAsia" w:ascii="仿宋_GB2312"/>
                <w:sz w:val="21"/>
                <w:szCs w:val="21"/>
              </w:rPr>
              <w:t>①基础数据信息和会计信息资料真实计0.4分；②基础数据信息和会计信息资料完整计0.3分；③基础数据信息和会计信息资料准确计0.3分。</w:t>
            </w:r>
          </w:p>
        </w:tc>
      </w:tr>
      <w:tr w14:paraId="0579EE22">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14:paraId="08CB1DAD">
            <w:pPr>
              <w:spacing w:line="240" w:lineRule="exact"/>
              <w:jc w:val="center"/>
              <w:rPr>
                <w:rFonts w:hint="eastAsia" w:ascii="仿宋_GB2312"/>
                <w:sz w:val="21"/>
                <w:szCs w:val="21"/>
              </w:rPr>
            </w:pP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2B92A09D">
            <w:pPr>
              <w:spacing w:line="240" w:lineRule="exact"/>
              <w:jc w:val="center"/>
              <w:rPr>
                <w:rFonts w:hint="eastAsia" w:ascii="仿宋_GB2312"/>
                <w:sz w:val="21"/>
                <w:szCs w:val="21"/>
              </w:rPr>
            </w:pPr>
            <w:r>
              <w:rPr>
                <w:rFonts w:hint="eastAsia" w:ascii="仿宋_GB2312"/>
                <w:sz w:val="21"/>
                <w:szCs w:val="21"/>
              </w:rPr>
              <w:t>资产</w:t>
            </w:r>
            <w:r>
              <w:rPr>
                <w:rFonts w:hint="eastAsia" w:ascii="仿宋_GB2312"/>
                <w:sz w:val="21"/>
                <w:szCs w:val="21"/>
              </w:rPr>
              <w:br w:type="textWrapping"/>
            </w:r>
            <w:r>
              <w:rPr>
                <w:rFonts w:hint="eastAsia" w:ascii="仿宋_GB2312"/>
                <w:sz w:val="21"/>
                <w:szCs w:val="21"/>
              </w:rPr>
              <w:t>管理</w:t>
            </w:r>
          </w:p>
          <w:p w14:paraId="2E45D65B">
            <w:pPr>
              <w:spacing w:line="240" w:lineRule="exact"/>
              <w:jc w:val="center"/>
              <w:rPr>
                <w:rFonts w:hint="eastAsia" w:ascii="仿宋_GB2312"/>
                <w:sz w:val="21"/>
                <w:szCs w:val="21"/>
              </w:rPr>
            </w:pPr>
            <w:r>
              <w:rPr>
                <w:rFonts w:hint="eastAsia" w:ascii="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D942AD">
            <w:pPr>
              <w:spacing w:line="240" w:lineRule="exact"/>
              <w:jc w:val="center"/>
              <w:rPr>
                <w:rFonts w:hint="eastAsia" w:ascii="仿宋_GB2312"/>
                <w:sz w:val="21"/>
                <w:szCs w:val="21"/>
              </w:rPr>
            </w:pPr>
            <w:r>
              <w:rPr>
                <w:rFonts w:hint="eastAsia" w:ascii="仿宋_GB2312"/>
                <w:sz w:val="21"/>
                <w:szCs w:val="21"/>
              </w:rPr>
              <w:t>管理制度</w:t>
            </w:r>
          </w:p>
          <w:p w14:paraId="3B74B0F7">
            <w:pPr>
              <w:spacing w:line="240" w:lineRule="exact"/>
              <w:jc w:val="center"/>
              <w:rPr>
                <w:rFonts w:hint="eastAsia" w:ascii="仿宋_GB2312"/>
                <w:sz w:val="21"/>
                <w:szCs w:val="21"/>
              </w:rPr>
            </w:pPr>
            <w:r>
              <w:rPr>
                <w:rFonts w:hint="eastAsia" w:ascii="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14:paraId="0908B251">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7884F7">
            <w:pPr>
              <w:tabs>
                <w:tab w:val="left" w:pos="2604"/>
              </w:tabs>
              <w:spacing w:line="240" w:lineRule="exact"/>
              <w:rPr>
                <w:rFonts w:hint="eastAsia" w:ascii="仿宋_GB2312"/>
                <w:sz w:val="21"/>
                <w:szCs w:val="21"/>
              </w:rPr>
            </w:pPr>
            <w:r>
              <w:rPr>
                <w:rFonts w:hint="eastAsia" w:ascii="仿宋_GB2312"/>
                <w:sz w:val="21"/>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BB6032D">
            <w:pPr>
              <w:spacing w:line="240" w:lineRule="exact"/>
              <w:rPr>
                <w:rFonts w:hint="eastAsia" w:ascii="仿宋_GB2312"/>
                <w:sz w:val="21"/>
                <w:szCs w:val="21"/>
              </w:rPr>
            </w:pPr>
            <w:r>
              <w:rPr>
                <w:rFonts w:hint="eastAsia" w:ascii="仿宋_GB2312"/>
                <w:sz w:val="21"/>
                <w:szCs w:val="21"/>
              </w:rPr>
              <w:t>①制定或具有资产管理制度计1分；②相关资金管理制度合法、合规、完整计0.5分；③相关资产管理制度得到有效执行计0.5分。</w:t>
            </w:r>
          </w:p>
        </w:tc>
      </w:tr>
      <w:tr w14:paraId="5CA66321">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14:paraId="227F028F">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14:paraId="5C7F4F88">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6BAD007">
            <w:pPr>
              <w:spacing w:line="240" w:lineRule="exact"/>
              <w:jc w:val="center"/>
              <w:rPr>
                <w:rFonts w:hint="eastAsia" w:ascii="仿宋_GB2312"/>
                <w:sz w:val="21"/>
                <w:szCs w:val="21"/>
              </w:rPr>
            </w:pPr>
            <w:r>
              <w:rPr>
                <w:rFonts w:hint="eastAsia" w:ascii="仿宋_GB2312"/>
                <w:sz w:val="21"/>
                <w:szCs w:val="21"/>
              </w:rPr>
              <w:t>资产管理</w:t>
            </w:r>
          </w:p>
          <w:p w14:paraId="1E6AAC07">
            <w:pPr>
              <w:spacing w:line="240" w:lineRule="exact"/>
              <w:jc w:val="center"/>
              <w:rPr>
                <w:rFonts w:hint="eastAsia" w:ascii="仿宋_GB2312"/>
                <w:sz w:val="21"/>
                <w:szCs w:val="21"/>
              </w:rPr>
            </w:pPr>
            <w:r>
              <w:rPr>
                <w:rFonts w:hint="eastAsia" w:ascii="仿宋_GB2312"/>
                <w:sz w:val="21"/>
                <w:szCs w:val="21"/>
              </w:rPr>
              <w:t>安全性（2分）</w:t>
            </w:r>
          </w:p>
        </w:tc>
        <w:tc>
          <w:tcPr>
            <w:tcW w:w="446" w:type="dxa"/>
            <w:tcBorders>
              <w:top w:val="single" w:color="auto" w:sz="4" w:space="0"/>
              <w:left w:val="nil"/>
              <w:bottom w:val="single" w:color="auto" w:sz="4" w:space="0"/>
              <w:right w:val="single" w:color="auto" w:sz="4" w:space="0"/>
            </w:tcBorders>
            <w:noWrap w:val="0"/>
            <w:vAlign w:val="center"/>
          </w:tcPr>
          <w:p w14:paraId="53709672">
            <w:pPr>
              <w:tabs>
                <w:tab w:val="left" w:pos="761"/>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1.8</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94BF689">
            <w:pPr>
              <w:tabs>
                <w:tab w:val="left" w:pos="761"/>
                <w:tab w:val="left" w:pos="2604"/>
              </w:tabs>
              <w:spacing w:line="240" w:lineRule="exact"/>
              <w:rPr>
                <w:rFonts w:hint="eastAsia" w:ascii="仿宋_GB2312"/>
                <w:sz w:val="21"/>
                <w:szCs w:val="21"/>
              </w:rPr>
            </w:pPr>
            <w:r>
              <w:rPr>
                <w:rFonts w:hint="eastAsia" w:ascii="仿宋_GB2312"/>
                <w:sz w:val="21"/>
                <w:szCs w:val="21"/>
              </w:rPr>
              <w:t>部门的资产是否保存完整、使用合规、配置合理、处置规范、收入及时足额上缴，用以反映和考核部门资产安全运行情况。</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85088D">
            <w:pPr>
              <w:spacing w:line="240" w:lineRule="exact"/>
              <w:rPr>
                <w:rFonts w:hint="eastAsia" w:ascii="仿宋_GB2312"/>
                <w:sz w:val="21"/>
                <w:szCs w:val="21"/>
              </w:rPr>
            </w:pPr>
            <w:r>
              <w:rPr>
                <w:rFonts w:hint="eastAsia" w:ascii="仿宋_GB2312"/>
                <w:sz w:val="21"/>
                <w:szCs w:val="21"/>
              </w:rPr>
              <w:t>①资产保存完整计0.4分；②资产配置合理计0.4分；③资产处置规范计0.4分；④资产账务管理合规、帐实相符计0.4分；⑤资产有偿使用及处置收入及时足额上缴计0.4分。</w:t>
            </w:r>
          </w:p>
        </w:tc>
      </w:tr>
      <w:tr w14:paraId="11052C77">
        <w:tblPrEx>
          <w:tblCellMar>
            <w:top w:w="0" w:type="dxa"/>
            <w:left w:w="0" w:type="dxa"/>
            <w:bottom w:w="0" w:type="dxa"/>
            <w:right w:w="0" w:type="dxa"/>
          </w:tblCellMar>
        </w:tblPrEx>
        <w:trPr>
          <w:trHeight w:val="567" w:hRule="atLeast"/>
        </w:trPr>
        <w:tc>
          <w:tcPr>
            <w:tcW w:w="547" w:type="dxa"/>
            <w:vMerge w:val="continue"/>
            <w:tcBorders>
              <w:left w:val="single" w:color="auto" w:sz="4" w:space="0"/>
              <w:bottom w:val="single" w:color="auto" w:sz="4" w:space="0"/>
              <w:right w:val="single" w:color="auto" w:sz="4" w:space="0"/>
            </w:tcBorders>
            <w:noWrap w:val="0"/>
            <w:vAlign w:val="center"/>
          </w:tcPr>
          <w:p w14:paraId="0F4D9BEC">
            <w:pPr>
              <w:spacing w:line="240" w:lineRule="exact"/>
              <w:jc w:val="center"/>
              <w:rPr>
                <w:rFonts w:hint="eastAsia" w:ascii="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14:paraId="783F78C2">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B798BF">
            <w:pPr>
              <w:spacing w:line="240" w:lineRule="exact"/>
              <w:jc w:val="center"/>
              <w:rPr>
                <w:rFonts w:hint="eastAsia" w:ascii="仿宋_GB2312"/>
                <w:sz w:val="21"/>
                <w:szCs w:val="21"/>
              </w:rPr>
            </w:pPr>
            <w:r>
              <w:rPr>
                <w:rFonts w:hint="eastAsia" w:ascii="仿宋_GB2312"/>
                <w:sz w:val="21"/>
                <w:szCs w:val="21"/>
              </w:rPr>
              <w:t>固定资产</w:t>
            </w:r>
          </w:p>
          <w:p w14:paraId="14043E48">
            <w:pPr>
              <w:spacing w:line="240" w:lineRule="exact"/>
              <w:jc w:val="center"/>
              <w:rPr>
                <w:rFonts w:hint="eastAsia" w:ascii="仿宋_GB2312"/>
                <w:sz w:val="21"/>
                <w:szCs w:val="21"/>
              </w:rPr>
            </w:pPr>
            <w:r>
              <w:rPr>
                <w:rFonts w:hint="eastAsia" w:ascii="仿宋_GB2312"/>
                <w:sz w:val="21"/>
                <w:szCs w:val="21"/>
              </w:rPr>
              <w:t>利用率（1分）</w:t>
            </w:r>
          </w:p>
        </w:tc>
        <w:tc>
          <w:tcPr>
            <w:tcW w:w="446" w:type="dxa"/>
            <w:tcBorders>
              <w:top w:val="single" w:color="auto" w:sz="4" w:space="0"/>
              <w:left w:val="nil"/>
              <w:bottom w:val="single" w:color="auto" w:sz="4" w:space="0"/>
              <w:right w:val="single" w:color="auto" w:sz="4" w:space="0"/>
            </w:tcBorders>
            <w:noWrap w:val="0"/>
            <w:vAlign w:val="center"/>
          </w:tcPr>
          <w:p w14:paraId="4DB33B86">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247292">
            <w:pPr>
              <w:tabs>
                <w:tab w:val="left" w:pos="2604"/>
              </w:tabs>
              <w:spacing w:line="240" w:lineRule="exact"/>
              <w:rPr>
                <w:rFonts w:hint="eastAsia" w:ascii="仿宋_GB2312"/>
                <w:sz w:val="21"/>
                <w:szCs w:val="21"/>
              </w:rPr>
            </w:pPr>
            <w:r>
              <w:rPr>
                <w:rFonts w:hint="eastAsia" w:ascii="仿宋_GB2312"/>
                <w:sz w:val="21"/>
                <w:szCs w:val="21"/>
              </w:rPr>
              <w:t>部门实际在用固定资产总额与所有固定资产总额的比率，用以反映和考核部门固定资产使用效率程度。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5ABDC0D">
            <w:pPr>
              <w:spacing w:line="240" w:lineRule="exact"/>
              <w:rPr>
                <w:rFonts w:hint="eastAsia" w:ascii="仿宋_GB2312"/>
                <w:sz w:val="21"/>
                <w:szCs w:val="21"/>
              </w:rPr>
            </w:pPr>
            <w:r>
              <w:rPr>
                <w:rFonts w:hint="eastAsia" w:ascii="仿宋_GB2312"/>
                <w:sz w:val="21"/>
                <w:szCs w:val="21"/>
              </w:rPr>
              <w:t>固定资产利用率=（实际在用固定资产总额/所有固定资产总额）×100%。利用率为100%的计1分，每降1个百分点扣0.1分，扣完为止。</w:t>
            </w:r>
          </w:p>
        </w:tc>
      </w:tr>
      <w:tr w14:paraId="30D97C47">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3A764E28">
            <w:pPr>
              <w:spacing w:line="240" w:lineRule="exact"/>
              <w:jc w:val="center"/>
              <w:rPr>
                <w:rFonts w:hint="eastAsia" w:ascii="仿宋_GB2312"/>
                <w:sz w:val="21"/>
                <w:szCs w:val="21"/>
              </w:rPr>
            </w:pPr>
            <w:r>
              <w:rPr>
                <w:rFonts w:hint="eastAsia" w:ascii="仿宋_GB2312"/>
                <w:sz w:val="21"/>
                <w:szCs w:val="21"/>
              </w:rPr>
              <w:t>产   出（30分）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75362F6">
            <w:pPr>
              <w:spacing w:line="240" w:lineRule="exact"/>
              <w:jc w:val="center"/>
              <w:rPr>
                <w:rFonts w:hint="eastAsia" w:ascii="仿宋_GB2312"/>
                <w:sz w:val="21"/>
                <w:szCs w:val="21"/>
              </w:rPr>
            </w:pPr>
            <w:r>
              <w:rPr>
                <w:rFonts w:hint="eastAsia" w:ascii="仿宋_GB2312"/>
                <w:sz w:val="21"/>
                <w:szCs w:val="21"/>
              </w:rPr>
              <w:t>职责</w:t>
            </w:r>
            <w:r>
              <w:rPr>
                <w:rFonts w:hint="eastAsia" w:ascii="仿宋_GB2312"/>
                <w:sz w:val="21"/>
                <w:szCs w:val="21"/>
              </w:rPr>
              <w:br w:type="textWrapping"/>
            </w:r>
            <w:r>
              <w:rPr>
                <w:rFonts w:hint="eastAsia" w:ascii="仿宋_GB2312"/>
                <w:sz w:val="21"/>
                <w:szCs w:val="21"/>
              </w:rPr>
              <w:t>履行</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16D3CB8">
            <w:pPr>
              <w:spacing w:line="240" w:lineRule="exact"/>
              <w:jc w:val="center"/>
              <w:rPr>
                <w:rFonts w:hint="eastAsia" w:ascii="仿宋_GB2312"/>
                <w:sz w:val="21"/>
                <w:szCs w:val="21"/>
              </w:rPr>
            </w:pPr>
            <w:r>
              <w:rPr>
                <w:rFonts w:hint="eastAsia" w:ascii="仿宋_GB2312"/>
                <w:sz w:val="21"/>
                <w:szCs w:val="21"/>
              </w:rPr>
              <w:t>实际完成率（8分）</w:t>
            </w:r>
          </w:p>
        </w:tc>
        <w:tc>
          <w:tcPr>
            <w:tcW w:w="446" w:type="dxa"/>
            <w:tcBorders>
              <w:top w:val="single" w:color="auto" w:sz="4" w:space="0"/>
              <w:left w:val="nil"/>
              <w:bottom w:val="single" w:color="auto" w:sz="4" w:space="0"/>
              <w:right w:val="single" w:color="auto" w:sz="4" w:space="0"/>
            </w:tcBorders>
            <w:noWrap w:val="0"/>
            <w:vAlign w:val="center"/>
          </w:tcPr>
          <w:p w14:paraId="0A99FCD4">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B7835CE">
            <w:pPr>
              <w:tabs>
                <w:tab w:val="left" w:pos="2604"/>
              </w:tabs>
              <w:spacing w:line="240" w:lineRule="exact"/>
              <w:rPr>
                <w:rFonts w:hint="eastAsia" w:ascii="仿宋_GB2312"/>
                <w:sz w:val="21"/>
                <w:szCs w:val="21"/>
              </w:rPr>
            </w:pPr>
            <w:r>
              <w:rPr>
                <w:rFonts w:hint="eastAsia" w:ascii="仿宋_GB2312"/>
                <w:sz w:val="21"/>
                <w:szCs w:val="21"/>
              </w:rPr>
              <w:t>部门履行职责而实际完成工作数与计划工作数的比率，用以反映和考核部门履职工作任务目标的实现程度。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044B5C8">
            <w:pPr>
              <w:spacing w:line="240" w:lineRule="exact"/>
              <w:rPr>
                <w:rFonts w:hint="eastAsia" w:ascii="仿宋_GB2312"/>
                <w:sz w:val="21"/>
                <w:szCs w:val="21"/>
              </w:rPr>
            </w:pPr>
            <w:r>
              <w:rPr>
                <w:rFonts w:hint="eastAsia" w:ascii="仿宋_GB2312"/>
                <w:sz w:val="21"/>
                <w:szCs w:val="21"/>
              </w:rPr>
              <w:t>实际完成率得分=完成市委市政府绩效考核得分或上级主管部门考核指标得分/指标分值*8分</w:t>
            </w:r>
          </w:p>
        </w:tc>
      </w:tr>
      <w:tr w14:paraId="34FB8542">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351AED38">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1F4D5274">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C6AC60E">
            <w:pPr>
              <w:spacing w:line="240" w:lineRule="exact"/>
              <w:jc w:val="center"/>
              <w:rPr>
                <w:rFonts w:hint="eastAsia" w:ascii="仿宋_GB2312"/>
                <w:sz w:val="21"/>
                <w:szCs w:val="21"/>
              </w:rPr>
            </w:pPr>
            <w:r>
              <w:rPr>
                <w:rFonts w:hint="eastAsia" w:ascii="仿宋_GB2312"/>
                <w:sz w:val="21"/>
                <w:szCs w:val="21"/>
              </w:rPr>
              <w:t>完成及时率（4分）</w:t>
            </w:r>
          </w:p>
        </w:tc>
        <w:tc>
          <w:tcPr>
            <w:tcW w:w="446" w:type="dxa"/>
            <w:tcBorders>
              <w:top w:val="single" w:color="auto" w:sz="4" w:space="0"/>
              <w:left w:val="nil"/>
              <w:bottom w:val="single" w:color="auto" w:sz="4" w:space="0"/>
              <w:right w:val="single" w:color="auto" w:sz="4" w:space="0"/>
            </w:tcBorders>
            <w:noWrap w:val="0"/>
            <w:vAlign w:val="center"/>
          </w:tcPr>
          <w:p w14:paraId="25AD1FD3">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1A7B77E">
            <w:pPr>
              <w:tabs>
                <w:tab w:val="left" w:pos="2604"/>
              </w:tabs>
              <w:spacing w:line="240" w:lineRule="exact"/>
              <w:rPr>
                <w:rFonts w:hint="eastAsia" w:ascii="仿宋_GB2312"/>
                <w:sz w:val="21"/>
                <w:szCs w:val="21"/>
              </w:rPr>
            </w:pPr>
            <w:r>
              <w:rPr>
                <w:rFonts w:hint="eastAsia" w:ascii="仿宋_GB2312"/>
                <w:sz w:val="21"/>
                <w:szCs w:val="21"/>
              </w:rPr>
              <w:t>部门在规定时限内及时完成的实际工作数与计划工作数的比率,用以反映和考核部门履职时效目标的实现程度。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EA53B5">
            <w:pPr>
              <w:spacing w:line="240" w:lineRule="exact"/>
              <w:rPr>
                <w:rFonts w:hint="eastAsia" w:ascii="仿宋_GB2312"/>
                <w:sz w:val="21"/>
                <w:szCs w:val="21"/>
              </w:rPr>
            </w:pPr>
            <w:r>
              <w:rPr>
                <w:rFonts w:hint="eastAsia" w:ascii="仿宋_GB2312"/>
                <w:sz w:val="21"/>
                <w:szCs w:val="21"/>
              </w:rPr>
              <w:t>完成及时率=（及时完成实际工作数/计划工作数）×100%。1-4季度各得1分</w:t>
            </w:r>
            <w:r>
              <w:rPr>
                <w:rFonts w:hint="eastAsia" w:ascii="仿宋_GB2312"/>
                <w:sz w:val="21"/>
                <w:szCs w:val="21"/>
              </w:rPr>
              <w:br w:type="textWrapping"/>
            </w:r>
          </w:p>
        </w:tc>
      </w:tr>
      <w:tr w14:paraId="5127E5BC">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1643AABA">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3320F693">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5543544">
            <w:pPr>
              <w:spacing w:line="240" w:lineRule="exact"/>
              <w:jc w:val="center"/>
              <w:rPr>
                <w:rFonts w:hint="eastAsia" w:ascii="仿宋_GB2312"/>
                <w:sz w:val="21"/>
                <w:szCs w:val="21"/>
              </w:rPr>
            </w:pPr>
            <w:r>
              <w:rPr>
                <w:rFonts w:hint="eastAsia" w:ascii="仿宋_GB2312"/>
                <w:sz w:val="21"/>
                <w:szCs w:val="21"/>
              </w:rPr>
              <w:t>质量达标率（8分）</w:t>
            </w:r>
          </w:p>
        </w:tc>
        <w:tc>
          <w:tcPr>
            <w:tcW w:w="446" w:type="dxa"/>
            <w:tcBorders>
              <w:top w:val="single" w:color="auto" w:sz="4" w:space="0"/>
              <w:left w:val="nil"/>
              <w:bottom w:val="single" w:color="auto" w:sz="4" w:space="0"/>
              <w:right w:val="single" w:color="auto" w:sz="4" w:space="0"/>
            </w:tcBorders>
            <w:noWrap w:val="0"/>
            <w:vAlign w:val="center"/>
          </w:tcPr>
          <w:p w14:paraId="1CA742A4">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6B69C5">
            <w:pPr>
              <w:tabs>
                <w:tab w:val="left" w:pos="2604"/>
              </w:tabs>
              <w:spacing w:line="240" w:lineRule="exact"/>
              <w:rPr>
                <w:rFonts w:hint="eastAsia" w:ascii="仿宋_GB2312"/>
                <w:sz w:val="21"/>
                <w:szCs w:val="21"/>
              </w:rPr>
            </w:pPr>
            <w:r>
              <w:rPr>
                <w:rFonts w:hint="eastAsia" w:ascii="仿宋_GB2312"/>
                <w:sz w:val="21"/>
                <w:szCs w:val="21"/>
              </w:rPr>
              <w:t>达到质量标准（绩效标准值）的实际工作数与计划工作数的比率,用以反映和考核部门履职质量目标的实现程度。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6EF9128">
            <w:pPr>
              <w:spacing w:line="240" w:lineRule="exact"/>
              <w:rPr>
                <w:rFonts w:hint="eastAsia" w:ascii="仿宋_GB2312"/>
                <w:sz w:val="21"/>
                <w:szCs w:val="21"/>
              </w:rPr>
            </w:pPr>
            <w:r>
              <w:rPr>
                <w:rFonts w:hint="eastAsia" w:ascii="仿宋_GB2312"/>
                <w:sz w:val="21"/>
                <w:szCs w:val="21"/>
              </w:rPr>
              <w:t>质量达标率=（质量达标实际工作数/计划工作数）×100%。实际得分=达标率*8分</w:t>
            </w:r>
          </w:p>
        </w:tc>
      </w:tr>
      <w:tr w14:paraId="1577CDC1">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0AE98C68">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2031392B">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428B42">
            <w:pPr>
              <w:spacing w:line="240" w:lineRule="exact"/>
              <w:jc w:val="center"/>
              <w:rPr>
                <w:rFonts w:hint="eastAsia" w:ascii="仿宋_GB2312"/>
                <w:sz w:val="21"/>
                <w:szCs w:val="21"/>
              </w:rPr>
            </w:pPr>
            <w:r>
              <w:rPr>
                <w:rFonts w:hint="eastAsia" w:ascii="仿宋_GB2312"/>
                <w:sz w:val="21"/>
                <w:szCs w:val="21"/>
              </w:rPr>
              <w:t>重点工作</w:t>
            </w:r>
          </w:p>
          <w:p w14:paraId="431E71C1">
            <w:pPr>
              <w:spacing w:line="240" w:lineRule="exact"/>
              <w:jc w:val="center"/>
              <w:rPr>
                <w:rFonts w:hint="eastAsia" w:ascii="仿宋_GB2312"/>
                <w:sz w:val="21"/>
                <w:szCs w:val="21"/>
              </w:rPr>
            </w:pPr>
            <w:r>
              <w:rPr>
                <w:rFonts w:hint="eastAsia" w:ascii="仿宋_GB2312"/>
                <w:sz w:val="21"/>
                <w:szCs w:val="21"/>
              </w:rPr>
              <w:t>办结率（10分）</w:t>
            </w:r>
          </w:p>
        </w:tc>
        <w:tc>
          <w:tcPr>
            <w:tcW w:w="446" w:type="dxa"/>
            <w:tcBorders>
              <w:top w:val="single" w:color="auto" w:sz="4" w:space="0"/>
              <w:left w:val="nil"/>
              <w:bottom w:val="single" w:color="auto" w:sz="4" w:space="0"/>
              <w:right w:val="single" w:color="auto" w:sz="4" w:space="0"/>
            </w:tcBorders>
            <w:noWrap w:val="0"/>
            <w:vAlign w:val="center"/>
          </w:tcPr>
          <w:p w14:paraId="184D6608">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10</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2883CE6">
            <w:pPr>
              <w:tabs>
                <w:tab w:val="left" w:pos="2604"/>
              </w:tabs>
              <w:spacing w:line="240" w:lineRule="exact"/>
              <w:rPr>
                <w:rFonts w:hint="eastAsia" w:ascii="仿宋_GB2312"/>
                <w:sz w:val="21"/>
                <w:szCs w:val="21"/>
              </w:rPr>
            </w:pPr>
            <w:r>
              <w:rPr>
                <w:rFonts w:hint="eastAsia" w:ascii="仿宋_GB2312"/>
                <w:sz w:val="21"/>
                <w:szCs w:val="21"/>
              </w:rPr>
              <w:t>部门年度重点工作实际完成数与交办或下达数的比率，用以反映部门对重点工作的办理落实程度。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BB940A9">
            <w:pPr>
              <w:spacing w:line="240" w:lineRule="exact"/>
              <w:rPr>
                <w:rFonts w:hint="eastAsia" w:ascii="仿宋_GB2312"/>
                <w:sz w:val="21"/>
                <w:szCs w:val="21"/>
              </w:rPr>
            </w:pPr>
            <w:r>
              <w:rPr>
                <w:rFonts w:hint="eastAsia" w:ascii="仿宋_GB2312"/>
                <w:sz w:val="21"/>
                <w:szCs w:val="21"/>
              </w:rPr>
              <w:t>重点工作办结率=（重点工作实际完成数/交办或下达数）×100%。实际得分=办结率*10分</w:t>
            </w:r>
          </w:p>
        </w:tc>
      </w:tr>
      <w:tr w14:paraId="32831870">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14:paraId="3E838377">
            <w:pPr>
              <w:spacing w:line="240" w:lineRule="exact"/>
              <w:jc w:val="center"/>
              <w:rPr>
                <w:rFonts w:hint="eastAsia" w:ascii="仿宋_GB2312"/>
                <w:sz w:val="21"/>
                <w:szCs w:val="21"/>
              </w:rPr>
            </w:pPr>
            <w:r>
              <w:rPr>
                <w:rFonts w:hint="eastAsia" w:ascii="仿宋_GB2312"/>
                <w:sz w:val="21"/>
                <w:szCs w:val="21"/>
              </w:rPr>
              <w:t>效   果（20分）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E9F0AFB">
            <w:pPr>
              <w:spacing w:line="240" w:lineRule="exact"/>
              <w:jc w:val="center"/>
              <w:rPr>
                <w:rFonts w:hint="eastAsia" w:ascii="仿宋_GB2312"/>
                <w:sz w:val="21"/>
                <w:szCs w:val="21"/>
              </w:rPr>
            </w:pPr>
            <w:r>
              <w:rPr>
                <w:rFonts w:hint="eastAsia" w:ascii="仿宋_GB2312"/>
                <w:sz w:val="21"/>
                <w:szCs w:val="21"/>
              </w:rPr>
              <w:t>履职</w:t>
            </w:r>
            <w:r>
              <w:rPr>
                <w:rFonts w:hint="eastAsia" w:ascii="仿宋_GB2312"/>
                <w:sz w:val="21"/>
                <w:szCs w:val="21"/>
              </w:rPr>
              <w:br w:type="textWrapping"/>
            </w:r>
            <w:r>
              <w:rPr>
                <w:rFonts w:hint="eastAsia" w:ascii="仿宋_GB2312"/>
                <w:sz w:val="21"/>
                <w:szCs w:val="21"/>
              </w:rPr>
              <w:t>效益（20分）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27FC252">
            <w:pPr>
              <w:spacing w:line="240" w:lineRule="exact"/>
              <w:jc w:val="center"/>
              <w:rPr>
                <w:rFonts w:hint="eastAsia" w:ascii="仿宋_GB2312"/>
                <w:sz w:val="21"/>
                <w:szCs w:val="21"/>
              </w:rPr>
            </w:pPr>
            <w:r>
              <w:rPr>
                <w:rFonts w:hint="eastAsia" w:ascii="仿宋_GB2312"/>
                <w:sz w:val="21"/>
                <w:szCs w:val="21"/>
              </w:rPr>
              <w:t>经济效益（5分）</w:t>
            </w:r>
          </w:p>
        </w:tc>
        <w:tc>
          <w:tcPr>
            <w:tcW w:w="446" w:type="dxa"/>
            <w:tcBorders>
              <w:top w:val="single" w:color="auto" w:sz="4" w:space="0"/>
              <w:left w:val="nil"/>
              <w:bottom w:val="single" w:color="auto" w:sz="4" w:space="0"/>
              <w:right w:val="single" w:color="auto" w:sz="4" w:space="0"/>
            </w:tcBorders>
            <w:noWrap w:val="0"/>
            <w:vAlign w:val="center"/>
          </w:tcPr>
          <w:p w14:paraId="00D86B46">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EB862D">
            <w:pPr>
              <w:tabs>
                <w:tab w:val="left" w:pos="2604"/>
              </w:tabs>
              <w:spacing w:line="240" w:lineRule="exact"/>
              <w:rPr>
                <w:rFonts w:hint="eastAsia" w:ascii="仿宋_GB2312"/>
                <w:sz w:val="21"/>
                <w:szCs w:val="21"/>
              </w:rPr>
            </w:pPr>
            <w:r>
              <w:rPr>
                <w:rFonts w:hint="eastAsia" w:ascii="仿宋_GB2312"/>
                <w:sz w:val="21"/>
                <w:szCs w:val="21"/>
              </w:rPr>
              <w:t>部门履行职责对经济发展所带来的直接或间接影响。</w:t>
            </w:r>
          </w:p>
        </w:tc>
        <w:tc>
          <w:tcPr>
            <w:tcW w:w="372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BBCCAD">
            <w:pPr>
              <w:spacing w:line="240" w:lineRule="exact"/>
              <w:rPr>
                <w:rFonts w:hint="eastAsia" w:ascii="仿宋_GB2312"/>
                <w:sz w:val="21"/>
                <w:szCs w:val="21"/>
              </w:rPr>
            </w:pPr>
            <w:r>
              <w:rPr>
                <w:rFonts w:hint="eastAsia" w:ascii="仿宋_GB2312" w:hAnsi="宋体" w:cs="宋体"/>
                <w:kern w:val="0"/>
                <w:sz w:val="21"/>
                <w:szCs w:val="21"/>
              </w:rPr>
              <w:t>按经济效益实现程度计算得分（5分）；按社会效益实现程度计算得分（5分）；按生态效益实现程度计算得分（5分）</w:t>
            </w:r>
          </w:p>
        </w:tc>
      </w:tr>
      <w:tr w14:paraId="2C0D7F97">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32B301C7">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51AE0CA0">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16BED95">
            <w:pPr>
              <w:spacing w:line="240" w:lineRule="exact"/>
              <w:jc w:val="center"/>
              <w:rPr>
                <w:rFonts w:hint="eastAsia" w:ascii="仿宋_GB2312"/>
                <w:sz w:val="21"/>
                <w:szCs w:val="21"/>
              </w:rPr>
            </w:pPr>
            <w:r>
              <w:rPr>
                <w:rFonts w:hint="eastAsia" w:ascii="仿宋_GB2312"/>
                <w:sz w:val="21"/>
                <w:szCs w:val="21"/>
              </w:rPr>
              <w:t>社会效益（5分）</w:t>
            </w:r>
          </w:p>
        </w:tc>
        <w:tc>
          <w:tcPr>
            <w:tcW w:w="446" w:type="dxa"/>
            <w:tcBorders>
              <w:top w:val="single" w:color="auto" w:sz="4" w:space="0"/>
              <w:left w:val="nil"/>
              <w:bottom w:val="single" w:color="auto" w:sz="4" w:space="0"/>
              <w:right w:val="single" w:color="auto" w:sz="4" w:space="0"/>
            </w:tcBorders>
            <w:noWrap w:val="0"/>
            <w:vAlign w:val="center"/>
          </w:tcPr>
          <w:p w14:paraId="190024B0">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0E152B">
            <w:pPr>
              <w:tabs>
                <w:tab w:val="left" w:pos="2604"/>
              </w:tabs>
              <w:spacing w:line="240" w:lineRule="exact"/>
              <w:rPr>
                <w:rFonts w:hint="eastAsia" w:ascii="仿宋_GB2312"/>
                <w:sz w:val="21"/>
                <w:szCs w:val="21"/>
              </w:rPr>
            </w:pPr>
            <w:r>
              <w:rPr>
                <w:rFonts w:hint="eastAsia" w:ascii="仿宋_GB2312"/>
                <w:sz w:val="21"/>
                <w:szCs w:val="21"/>
              </w:rPr>
              <w:t>部门履行职责对社会发展所带来的直接或间接影响。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14:paraId="3FBB1FFE">
            <w:pPr>
              <w:spacing w:line="240" w:lineRule="exact"/>
              <w:rPr>
                <w:rFonts w:hint="eastAsia" w:ascii="仿宋_GB2312"/>
                <w:sz w:val="21"/>
                <w:szCs w:val="21"/>
              </w:rPr>
            </w:pPr>
          </w:p>
        </w:tc>
      </w:tr>
      <w:tr w14:paraId="69F1A145">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14:paraId="0AC3FE0E">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14:paraId="3DC8DD27">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D06FFC1">
            <w:pPr>
              <w:spacing w:line="240" w:lineRule="exact"/>
              <w:jc w:val="center"/>
              <w:rPr>
                <w:rFonts w:hint="eastAsia" w:ascii="仿宋_GB2312"/>
                <w:sz w:val="21"/>
                <w:szCs w:val="21"/>
              </w:rPr>
            </w:pPr>
            <w:r>
              <w:rPr>
                <w:rFonts w:hint="eastAsia" w:ascii="仿宋_GB2312"/>
                <w:sz w:val="21"/>
                <w:szCs w:val="21"/>
              </w:rPr>
              <w:t>生态效益（5分）</w:t>
            </w:r>
          </w:p>
        </w:tc>
        <w:tc>
          <w:tcPr>
            <w:tcW w:w="446" w:type="dxa"/>
            <w:tcBorders>
              <w:top w:val="single" w:color="auto" w:sz="4" w:space="0"/>
              <w:left w:val="nil"/>
              <w:bottom w:val="single" w:color="auto" w:sz="4" w:space="0"/>
              <w:right w:val="single" w:color="auto" w:sz="4" w:space="0"/>
            </w:tcBorders>
            <w:noWrap w:val="0"/>
            <w:vAlign w:val="center"/>
          </w:tcPr>
          <w:p w14:paraId="5EB4E55E">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A29187">
            <w:pPr>
              <w:tabs>
                <w:tab w:val="left" w:pos="2604"/>
              </w:tabs>
              <w:spacing w:line="240" w:lineRule="exact"/>
              <w:rPr>
                <w:rFonts w:hint="eastAsia" w:ascii="仿宋_GB2312"/>
                <w:sz w:val="21"/>
                <w:szCs w:val="21"/>
              </w:rPr>
            </w:pPr>
            <w:r>
              <w:rPr>
                <w:rFonts w:hint="eastAsia" w:ascii="仿宋_GB2312"/>
                <w:sz w:val="21"/>
                <w:szCs w:val="21"/>
              </w:rPr>
              <w:t>部门履行职责对生态环境所带来的直接或间接影响。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14:paraId="13C5B220">
            <w:pPr>
              <w:spacing w:line="240" w:lineRule="exact"/>
              <w:rPr>
                <w:rFonts w:hint="eastAsia" w:ascii="仿宋_GB2312"/>
                <w:sz w:val="21"/>
                <w:szCs w:val="21"/>
              </w:rPr>
            </w:pPr>
          </w:p>
        </w:tc>
      </w:tr>
      <w:tr w14:paraId="126206B2">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nil"/>
              <w:right w:val="single" w:color="auto" w:sz="4" w:space="0"/>
            </w:tcBorders>
            <w:noWrap w:val="0"/>
            <w:vAlign w:val="center"/>
          </w:tcPr>
          <w:p w14:paraId="086E21DA">
            <w:pPr>
              <w:spacing w:line="240" w:lineRule="exact"/>
              <w:jc w:val="center"/>
              <w:rPr>
                <w:rFonts w:hint="eastAsia" w:ascii="仿宋_GB2312"/>
                <w:sz w:val="21"/>
                <w:szCs w:val="21"/>
              </w:rPr>
            </w:pPr>
          </w:p>
        </w:tc>
        <w:tc>
          <w:tcPr>
            <w:tcW w:w="570" w:type="dxa"/>
            <w:vMerge w:val="continue"/>
            <w:tcBorders>
              <w:top w:val="nil"/>
              <w:left w:val="single" w:color="auto" w:sz="4" w:space="0"/>
              <w:bottom w:val="nil"/>
              <w:right w:val="single" w:color="auto" w:sz="4" w:space="0"/>
            </w:tcBorders>
            <w:noWrap w:val="0"/>
            <w:vAlign w:val="center"/>
          </w:tcPr>
          <w:p w14:paraId="639B1933">
            <w:pPr>
              <w:spacing w:line="240" w:lineRule="exact"/>
              <w:jc w:val="center"/>
              <w:rPr>
                <w:rFonts w:hint="eastAsia" w:ascii="仿宋_GB2312"/>
                <w:sz w:val="21"/>
                <w:szCs w:val="21"/>
              </w:rPr>
            </w:pPr>
          </w:p>
        </w:tc>
        <w:tc>
          <w:tcPr>
            <w:tcW w:w="703" w:type="dxa"/>
            <w:tcBorders>
              <w:top w:val="nil"/>
              <w:left w:val="nil"/>
              <w:bottom w:val="nil"/>
              <w:right w:val="single" w:color="auto" w:sz="4" w:space="0"/>
            </w:tcBorders>
            <w:noWrap w:val="0"/>
            <w:tcMar>
              <w:top w:w="10" w:type="dxa"/>
              <w:left w:w="10" w:type="dxa"/>
              <w:bottom w:w="0" w:type="dxa"/>
              <w:right w:w="10" w:type="dxa"/>
            </w:tcMar>
            <w:vAlign w:val="center"/>
          </w:tcPr>
          <w:p w14:paraId="6168D43D">
            <w:pPr>
              <w:spacing w:line="240" w:lineRule="exact"/>
              <w:jc w:val="center"/>
              <w:rPr>
                <w:rFonts w:hint="eastAsia" w:ascii="仿宋_GB2312"/>
                <w:sz w:val="21"/>
                <w:szCs w:val="21"/>
              </w:rPr>
            </w:pPr>
            <w:r>
              <w:rPr>
                <w:rFonts w:hint="eastAsia" w:ascii="仿宋_GB2312"/>
                <w:sz w:val="21"/>
                <w:szCs w:val="21"/>
              </w:rPr>
              <w:t>社会公众</w:t>
            </w:r>
          </w:p>
          <w:p w14:paraId="486B3F08">
            <w:pPr>
              <w:spacing w:line="240" w:lineRule="exact"/>
              <w:jc w:val="center"/>
              <w:rPr>
                <w:rFonts w:hint="eastAsia" w:ascii="仿宋_GB2312"/>
                <w:sz w:val="21"/>
                <w:szCs w:val="21"/>
              </w:rPr>
            </w:pPr>
            <w:r>
              <w:rPr>
                <w:rFonts w:hint="eastAsia" w:ascii="仿宋_GB2312"/>
                <w:sz w:val="21"/>
                <w:szCs w:val="21"/>
              </w:rPr>
              <w:t>或服务对</w:t>
            </w:r>
          </w:p>
          <w:p w14:paraId="7F60A7DA">
            <w:pPr>
              <w:spacing w:line="240" w:lineRule="exact"/>
              <w:jc w:val="center"/>
              <w:rPr>
                <w:rFonts w:hint="eastAsia" w:ascii="仿宋_GB2312"/>
                <w:sz w:val="21"/>
                <w:szCs w:val="21"/>
              </w:rPr>
            </w:pPr>
            <w:r>
              <w:rPr>
                <w:rFonts w:hint="eastAsia" w:ascii="仿宋_GB2312"/>
                <w:sz w:val="21"/>
                <w:szCs w:val="21"/>
              </w:rPr>
              <w:t>象满意度（5分）</w:t>
            </w:r>
          </w:p>
        </w:tc>
        <w:tc>
          <w:tcPr>
            <w:tcW w:w="446" w:type="dxa"/>
            <w:tcBorders>
              <w:top w:val="single" w:color="auto" w:sz="4" w:space="0"/>
              <w:left w:val="nil"/>
              <w:bottom w:val="single" w:color="auto" w:sz="4" w:space="0"/>
              <w:right w:val="single" w:color="auto" w:sz="4" w:space="0"/>
            </w:tcBorders>
            <w:noWrap w:val="0"/>
            <w:vAlign w:val="center"/>
          </w:tcPr>
          <w:p w14:paraId="2F70CE2A">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nil"/>
              <w:right w:val="single" w:color="auto" w:sz="4" w:space="0"/>
            </w:tcBorders>
            <w:noWrap w:val="0"/>
            <w:tcMar>
              <w:top w:w="10" w:type="dxa"/>
              <w:left w:w="10" w:type="dxa"/>
              <w:bottom w:w="0" w:type="dxa"/>
              <w:right w:w="10" w:type="dxa"/>
            </w:tcMar>
            <w:vAlign w:val="center"/>
          </w:tcPr>
          <w:p w14:paraId="2D4E0742">
            <w:pPr>
              <w:tabs>
                <w:tab w:val="left" w:pos="2604"/>
              </w:tabs>
              <w:spacing w:line="240" w:lineRule="exact"/>
              <w:rPr>
                <w:rFonts w:hint="eastAsia" w:ascii="仿宋_GB2312"/>
                <w:sz w:val="21"/>
                <w:szCs w:val="21"/>
              </w:rPr>
            </w:pPr>
            <w:r>
              <w:rPr>
                <w:rFonts w:hint="eastAsia" w:ascii="仿宋_GB2312"/>
                <w:sz w:val="21"/>
                <w:szCs w:val="21"/>
              </w:rPr>
              <w:t>社会公众或部门的服务对象对部门履职效果的满意程度。</w:t>
            </w:r>
          </w:p>
        </w:tc>
        <w:tc>
          <w:tcPr>
            <w:tcW w:w="3722" w:type="dxa"/>
            <w:tcBorders>
              <w:top w:val="nil"/>
              <w:left w:val="nil"/>
              <w:bottom w:val="nil"/>
              <w:right w:val="single" w:color="auto" w:sz="4" w:space="0"/>
            </w:tcBorders>
            <w:noWrap w:val="0"/>
            <w:tcMar>
              <w:top w:w="10" w:type="dxa"/>
              <w:left w:w="10" w:type="dxa"/>
              <w:bottom w:w="0" w:type="dxa"/>
              <w:right w:w="10" w:type="dxa"/>
            </w:tcMar>
            <w:vAlign w:val="center"/>
          </w:tcPr>
          <w:p w14:paraId="1D6125D2">
            <w:pPr>
              <w:spacing w:line="240" w:lineRule="exact"/>
              <w:rPr>
                <w:rFonts w:hint="eastAsia" w:ascii="仿宋_GB2312"/>
                <w:sz w:val="21"/>
                <w:szCs w:val="21"/>
              </w:rPr>
            </w:pPr>
            <w:r>
              <w:rPr>
                <w:rFonts w:hint="eastAsia" w:ascii="仿宋_GB2312" w:hAnsi="宋体" w:cs="宋体"/>
                <w:kern w:val="0"/>
                <w:sz w:val="21"/>
                <w:szCs w:val="21"/>
              </w:rPr>
              <w:t>按收集到的服务对象的满意率计算得分（5分）</w:t>
            </w:r>
          </w:p>
        </w:tc>
      </w:tr>
      <w:tr w14:paraId="01CE2E8E">
        <w:tblPrEx>
          <w:tblCellMar>
            <w:top w:w="0" w:type="dxa"/>
            <w:left w:w="0" w:type="dxa"/>
            <w:bottom w:w="0" w:type="dxa"/>
            <w:right w:w="0" w:type="dxa"/>
          </w:tblCellMar>
        </w:tblPrEx>
        <w:trPr>
          <w:trHeight w:val="567" w:hRule="atLeast"/>
        </w:trPr>
        <w:tc>
          <w:tcPr>
            <w:tcW w:w="1820" w:type="dxa"/>
            <w:gridSpan w:val="3"/>
            <w:tcBorders>
              <w:top w:val="nil"/>
              <w:left w:val="single" w:color="auto" w:sz="4" w:space="0"/>
              <w:bottom w:val="single" w:color="auto" w:sz="4" w:space="0"/>
              <w:right w:val="single" w:color="auto" w:sz="4" w:space="0"/>
            </w:tcBorders>
            <w:noWrap w:val="0"/>
            <w:vAlign w:val="center"/>
          </w:tcPr>
          <w:p w14:paraId="19DC62DB">
            <w:pPr>
              <w:spacing w:line="240" w:lineRule="exact"/>
              <w:jc w:val="center"/>
              <w:rPr>
                <w:rFonts w:hint="eastAsia" w:ascii="仿宋_GB2312"/>
                <w:sz w:val="21"/>
                <w:szCs w:val="21"/>
              </w:rPr>
            </w:pPr>
            <w:r>
              <w:rPr>
                <w:rFonts w:hint="eastAsia" w:ascii="仿宋_GB2312"/>
                <w:sz w:val="21"/>
                <w:szCs w:val="21"/>
              </w:rPr>
              <w:t>合   计</w:t>
            </w:r>
          </w:p>
        </w:tc>
        <w:tc>
          <w:tcPr>
            <w:tcW w:w="446" w:type="dxa"/>
            <w:tcBorders>
              <w:top w:val="single" w:color="auto" w:sz="4" w:space="0"/>
              <w:left w:val="nil"/>
              <w:bottom w:val="single" w:color="auto" w:sz="4" w:space="0"/>
              <w:right w:val="single" w:color="auto" w:sz="4" w:space="0"/>
            </w:tcBorders>
            <w:noWrap w:val="0"/>
            <w:vAlign w:val="center"/>
          </w:tcPr>
          <w:p w14:paraId="4F05AF9C">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92.3</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0159F0">
            <w:pPr>
              <w:tabs>
                <w:tab w:val="left" w:pos="2604"/>
              </w:tabs>
              <w:spacing w:line="240" w:lineRule="exact"/>
              <w:rPr>
                <w:rFonts w:hint="eastAsia" w:ascii="仿宋_GB2312"/>
                <w:sz w:val="21"/>
                <w:szCs w:val="21"/>
              </w:rPr>
            </w:pP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0D4F00D">
            <w:pPr>
              <w:spacing w:line="240" w:lineRule="exact"/>
              <w:rPr>
                <w:rFonts w:hint="eastAsia" w:ascii="仿宋_GB2312" w:hAnsi="宋体" w:cs="宋体"/>
                <w:kern w:val="0"/>
                <w:sz w:val="21"/>
                <w:szCs w:val="21"/>
              </w:rPr>
            </w:pPr>
          </w:p>
        </w:tc>
      </w:tr>
    </w:tbl>
    <w:p w14:paraId="34192ACC">
      <w:pPr>
        <w:spacing w:line="600" w:lineRule="exact"/>
        <w:rPr>
          <w:rFonts w:hint="eastAsia" w:ascii="黑体" w:eastAsia="黑体"/>
          <w:szCs w:val="32"/>
          <w:lang w:val="en-US" w:eastAsia="zh-CN"/>
        </w:rPr>
      </w:pPr>
    </w:p>
    <w:p w14:paraId="57EEE5CE">
      <w:pPr>
        <w:jc w:val="left"/>
        <w:rPr>
          <w:rFonts w:hint="eastAsia" w:ascii="楷体_GB2312" w:hAnsi="楷体_GB2312" w:eastAsia="楷体_GB2312" w:cs="楷体_GB2312"/>
          <w:b w:val="0"/>
          <w:bCs w:val="0"/>
          <w:sz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9FB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05FB1"/>
    <w:multiLevelType w:val="singleLevel"/>
    <w:tmpl w:val="2E505F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3870"/>
    <w:rsid w:val="000452DB"/>
    <w:rsid w:val="000B41D1"/>
    <w:rsid w:val="000B56F7"/>
    <w:rsid w:val="000B56FD"/>
    <w:rsid w:val="000E1DA1"/>
    <w:rsid w:val="0011267F"/>
    <w:rsid w:val="00117D5A"/>
    <w:rsid w:val="001352FB"/>
    <w:rsid w:val="00144D50"/>
    <w:rsid w:val="001901C4"/>
    <w:rsid w:val="00235ED7"/>
    <w:rsid w:val="0025703E"/>
    <w:rsid w:val="002D5DD0"/>
    <w:rsid w:val="002D734E"/>
    <w:rsid w:val="002F2A8C"/>
    <w:rsid w:val="00317991"/>
    <w:rsid w:val="0035446D"/>
    <w:rsid w:val="00361F25"/>
    <w:rsid w:val="003638A2"/>
    <w:rsid w:val="0040164B"/>
    <w:rsid w:val="00430AD5"/>
    <w:rsid w:val="004606BE"/>
    <w:rsid w:val="004C174B"/>
    <w:rsid w:val="004C3997"/>
    <w:rsid w:val="004E2F24"/>
    <w:rsid w:val="00571330"/>
    <w:rsid w:val="00582244"/>
    <w:rsid w:val="005E2E58"/>
    <w:rsid w:val="006123DC"/>
    <w:rsid w:val="006170A8"/>
    <w:rsid w:val="0065030C"/>
    <w:rsid w:val="006823CE"/>
    <w:rsid w:val="0070163B"/>
    <w:rsid w:val="00732CB0"/>
    <w:rsid w:val="007C02DE"/>
    <w:rsid w:val="007C5F40"/>
    <w:rsid w:val="00836CB0"/>
    <w:rsid w:val="008F546E"/>
    <w:rsid w:val="00935CF1"/>
    <w:rsid w:val="00946F32"/>
    <w:rsid w:val="0096182A"/>
    <w:rsid w:val="00983989"/>
    <w:rsid w:val="009B4C5A"/>
    <w:rsid w:val="00A30DA2"/>
    <w:rsid w:val="00A806B4"/>
    <w:rsid w:val="00AB25EE"/>
    <w:rsid w:val="00AF64D3"/>
    <w:rsid w:val="00B27C51"/>
    <w:rsid w:val="00B44575"/>
    <w:rsid w:val="00BC6D21"/>
    <w:rsid w:val="00BC7B9D"/>
    <w:rsid w:val="00BD0975"/>
    <w:rsid w:val="00C44F18"/>
    <w:rsid w:val="00C93CC7"/>
    <w:rsid w:val="00D21CDF"/>
    <w:rsid w:val="00D36804"/>
    <w:rsid w:val="00D4383D"/>
    <w:rsid w:val="00D83956"/>
    <w:rsid w:val="00D86BAC"/>
    <w:rsid w:val="00DB0D6E"/>
    <w:rsid w:val="00DF6FA5"/>
    <w:rsid w:val="00E229E2"/>
    <w:rsid w:val="00E301D5"/>
    <w:rsid w:val="00E517E0"/>
    <w:rsid w:val="00E532FE"/>
    <w:rsid w:val="00EC2A23"/>
    <w:rsid w:val="00EC2AAC"/>
    <w:rsid w:val="00ED3327"/>
    <w:rsid w:val="00F26C06"/>
    <w:rsid w:val="00F31832"/>
    <w:rsid w:val="00F322AD"/>
    <w:rsid w:val="00F33904"/>
    <w:rsid w:val="00F35C36"/>
    <w:rsid w:val="00F44513"/>
    <w:rsid w:val="00F76F60"/>
    <w:rsid w:val="00F90EA9"/>
    <w:rsid w:val="00F94200"/>
    <w:rsid w:val="00FE3F03"/>
    <w:rsid w:val="0AA849F4"/>
    <w:rsid w:val="0FBC65BB"/>
    <w:rsid w:val="149E1606"/>
    <w:rsid w:val="202B2412"/>
    <w:rsid w:val="24841249"/>
    <w:rsid w:val="26A00137"/>
    <w:rsid w:val="278F33F2"/>
    <w:rsid w:val="294071A0"/>
    <w:rsid w:val="2B133209"/>
    <w:rsid w:val="2D6A6FAC"/>
    <w:rsid w:val="3BEC5B59"/>
    <w:rsid w:val="43E42BA1"/>
    <w:rsid w:val="47D87973"/>
    <w:rsid w:val="48A3434F"/>
    <w:rsid w:val="498519B2"/>
    <w:rsid w:val="56C07512"/>
    <w:rsid w:val="59A27C1D"/>
    <w:rsid w:val="5A1401FB"/>
    <w:rsid w:val="64E14425"/>
    <w:rsid w:val="6BBB409A"/>
    <w:rsid w:val="73ED1452"/>
    <w:rsid w:val="7635590E"/>
    <w:rsid w:val="769D515E"/>
    <w:rsid w:val="77D16510"/>
    <w:rsid w:val="78497C10"/>
    <w:rsid w:val="799F7EAF"/>
    <w:rsid w:val="7A987E70"/>
    <w:rsid w:val="7AFE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14816</Words>
  <Characters>16650</Characters>
  <Lines>44</Lines>
  <Paragraphs>12</Paragraphs>
  <TotalTime>0</TotalTime>
  <ScaleCrop>false</ScaleCrop>
  <LinksUpToDate>false</LinksUpToDate>
  <CharactersWithSpaces>16929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夏天</cp:lastModifiedBy>
  <dcterms:modified xsi:type="dcterms:W3CDTF">2025-09-08T03:32:03Z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eyJoZGlkIjoiN2Y3ZjkwZDkyNjg0MGM2ZjgzNGY2ZTY5MDJiZjZkZTYiLCJ1c2VySWQiOiIzMzMyOTk1NjgifQ==</vt:lpwstr>
  </property>
  <property fmtid="{D5CDD505-2E9C-101B-9397-08002B2CF9AE}" pid="4" name="ICV">
    <vt:lpwstr>3BA92E2B93C74C47B3ACBC99A2CDB78C_13</vt:lpwstr>
  </property>
</Properties>
</file>