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74" w:tblpY="288"/>
        <w:tblOverlap w:val="never"/>
        <w:tblW w:w="0" w:type="auto"/>
        <w:tblInd w:w="0" w:type="dxa"/>
        <w:tblLayout w:type="fixed"/>
        <w:tblCellMar>
          <w:top w:w="0" w:type="dxa"/>
          <w:left w:w="0" w:type="dxa"/>
          <w:bottom w:w="0" w:type="dxa"/>
          <w:right w:w="0" w:type="dxa"/>
        </w:tblCellMar>
      </w:tblPr>
      <w:tblGrid>
        <w:gridCol w:w="547"/>
        <w:gridCol w:w="570"/>
        <w:gridCol w:w="703"/>
        <w:gridCol w:w="446"/>
        <w:gridCol w:w="2976"/>
        <w:gridCol w:w="3722"/>
      </w:tblGrid>
      <w:tr>
        <w:tblPrEx>
          <w:tblCellMar>
            <w:top w:w="0" w:type="dxa"/>
            <w:left w:w="0" w:type="dxa"/>
            <w:bottom w:w="0" w:type="dxa"/>
            <w:right w:w="0" w:type="dxa"/>
          </w:tblCellMar>
        </w:tblPrEx>
        <w:trPr>
          <w:tblHeader/>
        </w:trPr>
        <w:tc>
          <w:tcPr>
            <w:tcW w:w="8964" w:type="dxa"/>
            <w:gridSpan w:val="6"/>
            <w:tcBorders>
              <w:bottom w:val="single" w:color="auto" w:sz="4" w:space="0"/>
            </w:tcBorders>
            <w:noWrap w:val="0"/>
            <w:tcMar>
              <w:top w:w="10" w:type="dxa"/>
              <w:left w:w="10" w:type="dxa"/>
              <w:bottom w:w="0" w:type="dxa"/>
              <w:right w:w="10" w:type="dxa"/>
            </w:tcMar>
            <w:vAlign w:val="center"/>
          </w:tcPr>
          <w:p>
            <w:pPr>
              <w:jc w:val="center"/>
              <w:rPr>
                <w:rFonts w:hint="eastAsia" w:ascii="黑体" w:eastAsia="黑体"/>
                <w:bCs/>
                <w:sz w:val="36"/>
                <w:szCs w:val="36"/>
              </w:rPr>
            </w:pPr>
            <w:bookmarkStart w:id="0" w:name="_GoBack"/>
            <w:r>
              <w:rPr>
                <w:rFonts w:hint="eastAsia" w:ascii="黑体" w:eastAsia="黑体"/>
                <w:bCs/>
                <w:sz w:val="36"/>
                <w:szCs w:val="36"/>
              </w:rPr>
              <w:t>2018年度</w:t>
            </w:r>
            <w:r>
              <w:rPr>
                <w:rFonts w:hint="eastAsia" w:ascii="黑体" w:eastAsia="黑体"/>
                <w:bCs/>
                <w:sz w:val="36"/>
                <w:szCs w:val="36"/>
                <w:lang w:eastAsia="zh-CN"/>
              </w:rPr>
              <w:t>益阳市地方志编纂室</w:t>
            </w:r>
            <w:r>
              <w:rPr>
                <w:rFonts w:hint="eastAsia" w:ascii="黑体" w:eastAsia="黑体"/>
                <w:bCs/>
                <w:sz w:val="36"/>
                <w:szCs w:val="36"/>
              </w:rPr>
              <w:t>整体支出绩效自评指标计分表</w:t>
            </w:r>
          </w:p>
          <w:bookmarkEnd w:id="0"/>
          <w:p>
            <w:pPr>
              <w:jc w:val="center"/>
              <w:rPr>
                <w:rFonts w:hint="eastAsia" w:ascii="仿宋_GB2312"/>
                <w:bCs/>
                <w:sz w:val="21"/>
                <w:szCs w:val="21"/>
              </w:rPr>
            </w:pPr>
          </w:p>
        </w:tc>
      </w:tr>
      <w:tr>
        <w:tblPrEx>
          <w:tblCellMar>
            <w:top w:w="0" w:type="dxa"/>
            <w:left w:w="0" w:type="dxa"/>
            <w:bottom w:w="0" w:type="dxa"/>
            <w:right w:w="0" w:type="dxa"/>
          </w:tblCellMar>
        </w:tblPrEx>
        <w:trPr>
          <w:trHeight w:val="567" w:hRule="atLeast"/>
          <w:tblHeader/>
        </w:trPr>
        <w:tc>
          <w:tcPr>
            <w:tcW w:w="54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一级</w:t>
            </w:r>
            <w:r>
              <w:rPr>
                <w:rFonts w:hint="eastAsia" w:ascii="仿宋_GB2312"/>
                <w:bCs/>
                <w:sz w:val="21"/>
                <w:szCs w:val="21"/>
              </w:rPr>
              <w:br w:type="textWrapping"/>
            </w:r>
            <w:r>
              <w:rPr>
                <w:rFonts w:hint="eastAsia" w:ascii="仿宋_GB2312"/>
                <w:bCs/>
                <w:sz w:val="21"/>
                <w:szCs w:val="21"/>
              </w:rPr>
              <w:t>指标</w:t>
            </w:r>
          </w:p>
        </w:tc>
        <w:tc>
          <w:tcPr>
            <w:tcW w:w="5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二级指标</w:t>
            </w: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三级指标</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bCs/>
                <w:sz w:val="21"/>
                <w:szCs w:val="21"/>
              </w:rPr>
            </w:pPr>
            <w:r>
              <w:rPr>
                <w:rFonts w:hint="eastAsia" w:ascii="仿宋_GB2312"/>
                <w:bCs/>
                <w:sz w:val="21"/>
                <w:szCs w:val="21"/>
              </w:rPr>
              <w:t>自评分</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指标解释</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指标说明</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r>
              <w:rPr>
                <w:rFonts w:hint="eastAsia" w:ascii="仿宋_GB2312" w:eastAsia="仿宋_GB2312"/>
                <w:sz w:val="21"/>
                <w:szCs w:val="21"/>
              </w:rPr>
              <w:t>投   入（20分）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目标</w:t>
            </w:r>
            <w:r>
              <w:rPr>
                <w:rFonts w:hint="eastAsia" w:ascii="仿宋_GB2312" w:eastAsia="仿宋_GB2312"/>
                <w:sz w:val="21"/>
                <w:szCs w:val="21"/>
              </w:rPr>
              <w:br w:type="textWrapping"/>
            </w:r>
            <w:r>
              <w:rPr>
                <w:rFonts w:hint="eastAsia" w:ascii="仿宋_GB2312" w:eastAsia="仿宋_GB2312"/>
                <w:sz w:val="21"/>
                <w:szCs w:val="21"/>
              </w:rPr>
              <w:t>设定（5分）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绩效目标合理性（2分）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绩效指标明确性（3分）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部门依据整体绩效目标所设定的绩效指标是否清晰、细化、可衡量，用以反映和考核部门整体绩效目标的明细化情况。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预算</w:t>
            </w:r>
            <w:r>
              <w:rPr>
                <w:rFonts w:hint="eastAsia" w:ascii="仿宋_GB2312" w:eastAsia="仿宋_GB2312"/>
                <w:sz w:val="21"/>
                <w:szCs w:val="21"/>
              </w:rPr>
              <w:br w:type="textWrapping"/>
            </w:r>
            <w:r>
              <w:rPr>
                <w:rFonts w:hint="eastAsia" w:ascii="仿宋_GB2312" w:eastAsia="仿宋_GB2312"/>
                <w:sz w:val="21"/>
                <w:szCs w:val="21"/>
              </w:rPr>
              <w:t>配置（15分）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在职人员控制率（5分）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部门本年度实际在职人员数与编制数的比率，用以反映和考核部门对人员成本的控制程度。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“三公经费”</w:t>
            </w:r>
          </w:p>
          <w:p>
            <w:pPr>
              <w:spacing w:line="240" w:lineRule="exact"/>
              <w:jc w:val="center"/>
              <w:rPr>
                <w:rFonts w:hint="eastAsia" w:ascii="仿宋_GB2312" w:eastAsia="仿宋_GB2312"/>
                <w:sz w:val="21"/>
                <w:szCs w:val="21"/>
              </w:rPr>
            </w:pPr>
            <w:r>
              <w:rPr>
                <w:rFonts w:hint="eastAsia" w:ascii="仿宋_GB2312" w:eastAsia="仿宋_GB2312"/>
                <w:sz w:val="21"/>
                <w:szCs w:val="21"/>
              </w:rPr>
              <w:t>变动率（5分）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部门本年度“三公经费”预算数与上年度“三公经费”预算数的变动比率，用以反映和考核部门对控制重点行政成本的努力程度。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重点支出安排率（5分）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r>
              <w:rPr>
                <w:rFonts w:hint="eastAsia" w:ascii="仿宋_GB2312" w:eastAsia="仿宋_GB2312"/>
                <w:sz w:val="21"/>
                <w:szCs w:val="21"/>
              </w:rPr>
              <w:t>过             程（30分）</w:t>
            </w: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预算</w:t>
            </w:r>
            <w:r>
              <w:rPr>
                <w:rFonts w:hint="eastAsia" w:ascii="仿宋_GB2312" w:eastAsia="仿宋_GB2312"/>
                <w:sz w:val="21"/>
                <w:szCs w:val="21"/>
              </w:rPr>
              <w:br w:type="textWrapping"/>
            </w:r>
            <w:r>
              <w:rPr>
                <w:rFonts w:hint="eastAsia" w:ascii="仿宋_GB2312" w:eastAsia="仿宋_GB2312"/>
                <w:sz w:val="21"/>
                <w:szCs w:val="21"/>
              </w:rPr>
              <w:t>执行</w:t>
            </w:r>
          </w:p>
          <w:p>
            <w:pPr>
              <w:spacing w:line="240" w:lineRule="exact"/>
              <w:rPr>
                <w:rFonts w:hint="eastAsia" w:ascii="仿宋_GB2312" w:eastAsia="仿宋_GB2312"/>
                <w:sz w:val="21"/>
                <w:szCs w:val="21"/>
              </w:rPr>
            </w:pPr>
            <w:r>
              <w:rPr>
                <w:rFonts w:hint="eastAsia" w:ascii="仿宋_GB2312" w:eastAsia="仿宋_GB2312"/>
                <w:sz w:val="21"/>
                <w:szCs w:val="21"/>
              </w:rPr>
              <w:t>（20分）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预算完成率（4分）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部门本年度预算完成数与预算数的比率，用以反映和考核部门预算完成程度。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预算调整率（2分）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部门本年度预算调整数与预算数的比率，用以反映和考核部门预算的调整程度。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支付进度率（2分）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部门实际支付进度与既定支付进度的比率，用以反映和考核部门预算执行的及时性和均衡性程度。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结转结余控制率（4分）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4</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部门本年度结转结余总额与上年结转结余总额增减比例，用以反映和考核部门对存量资金的实际控制程度。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公用经费</w:t>
            </w:r>
          </w:p>
          <w:p>
            <w:pPr>
              <w:spacing w:line="240" w:lineRule="exact"/>
              <w:jc w:val="center"/>
              <w:rPr>
                <w:rFonts w:hint="eastAsia" w:ascii="仿宋_GB2312" w:eastAsia="仿宋_GB2312"/>
                <w:sz w:val="21"/>
                <w:szCs w:val="21"/>
              </w:rPr>
            </w:pPr>
            <w:r>
              <w:rPr>
                <w:rFonts w:hint="eastAsia" w:ascii="仿宋_GB2312" w:eastAsia="仿宋_GB2312"/>
                <w:sz w:val="21"/>
                <w:szCs w:val="21"/>
              </w:rPr>
              <w:t>控制率（2分）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部门本年度实际支出的公用经费总额与预算安排的公用经费总额的比率，用以反映和考核部门对机构运转成本的实际控制程度。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“三公经费”控制率（2分）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部门本年度“三公经费”实际支出数与预算安排数的比率，用以反映和考核部门对“三公经费”的实际控制程度。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政府采购</w:t>
            </w:r>
          </w:p>
          <w:p>
            <w:pPr>
              <w:spacing w:line="240" w:lineRule="exact"/>
              <w:jc w:val="center"/>
              <w:rPr>
                <w:rFonts w:hint="eastAsia" w:ascii="仿宋_GB2312" w:eastAsia="仿宋_GB2312"/>
                <w:sz w:val="21"/>
                <w:szCs w:val="21"/>
              </w:rPr>
            </w:pPr>
            <w:r>
              <w:rPr>
                <w:rFonts w:hint="eastAsia" w:ascii="仿宋_GB2312" w:eastAsia="仿宋_GB2312"/>
                <w:sz w:val="21"/>
                <w:szCs w:val="21"/>
              </w:rPr>
              <w:t>执行率（4分）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部门本年度实际政府采购金额与年初政府采购预算的比率，用以反映和考核部门政府采购预算执行情况。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预算</w:t>
            </w:r>
          </w:p>
          <w:p>
            <w:pPr>
              <w:spacing w:line="240" w:lineRule="exact"/>
              <w:rPr>
                <w:rFonts w:hint="eastAsia" w:ascii="仿宋_GB2312" w:eastAsia="仿宋_GB2312"/>
                <w:sz w:val="21"/>
                <w:szCs w:val="21"/>
              </w:rPr>
            </w:pPr>
            <w:r>
              <w:rPr>
                <w:rFonts w:hint="eastAsia" w:ascii="仿宋_GB2312" w:eastAsia="仿宋_GB2312"/>
                <w:sz w:val="21"/>
                <w:szCs w:val="21"/>
              </w:rPr>
              <w:t>管理</w:t>
            </w:r>
          </w:p>
          <w:p>
            <w:pPr>
              <w:spacing w:line="240" w:lineRule="exact"/>
              <w:rPr>
                <w:rFonts w:hint="eastAsia" w:ascii="仿宋_GB2312" w:eastAsia="仿宋_GB2312"/>
                <w:sz w:val="21"/>
                <w:szCs w:val="21"/>
              </w:rPr>
            </w:pPr>
            <w:r>
              <w:rPr>
                <w:rFonts w:hint="eastAsia" w:ascii="仿宋_GB2312" w:eastAsia="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管理制度</w:t>
            </w:r>
          </w:p>
          <w:p>
            <w:pPr>
              <w:spacing w:line="240" w:lineRule="exact"/>
              <w:jc w:val="center"/>
              <w:rPr>
                <w:rFonts w:hint="eastAsia" w:ascii="仿宋_GB2312" w:eastAsia="仿宋_GB2312"/>
                <w:sz w:val="21"/>
                <w:szCs w:val="21"/>
              </w:rPr>
            </w:pPr>
            <w:r>
              <w:rPr>
                <w:rFonts w:hint="eastAsia" w:ascii="仿宋_GB2312" w:eastAsia="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资金使用</w:t>
            </w:r>
          </w:p>
          <w:p>
            <w:pPr>
              <w:spacing w:line="240" w:lineRule="exact"/>
              <w:jc w:val="center"/>
              <w:rPr>
                <w:rFonts w:hint="eastAsia" w:ascii="仿宋_GB2312" w:eastAsia="仿宋_GB2312"/>
                <w:sz w:val="21"/>
                <w:szCs w:val="21"/>
              </w:rPr>
            </w:pPr>
            <w:r>
              <w:rPr>
                <w:rFonts w:hint="eastAsia" w:ascii="仿宋_GB2312" w:eastAsia="仿宋_GB2312"/>
                <w:sz w:val="21"/>
                <w:szCs w:val="21"/>
              </w:rPr>
              <w:t>合规性（1分）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部门使用预算资金是否符合相关的预算财务管理制度的规定，用以反映和考核部门预算资金的规范运行情况。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预决算信</w:t>
            </w:r>
          </w:p>
          <w:p>
            <w:pPr>
              <w:spacing w:line="240" w:lineRule="exact"/>
              <w:jc w:val="center"/>
              <w:rPr>
                <w:rFonts w:hint="eastAsia" w:ascii="仿宋_GB2312" w:eastAsia="仿宋_GB2312"/>
                <w:sz w:val="21"/>
                <w:szCs w:val="21"/>
              </w:rPr>
            </w:pPr>
            <w:r>
              <w:rPr>
                <w:rFonts w:hint="eastAsia" w:ascii="仿宋_GB2312" w:eastAsia="仿宋_GB2312"/>
                <w:sz w:val="21"/>
                <w:szCs w:val="21"/>
              </w:rPr>
              <w:t>息公开性（1分）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部门是否按照政府信息公开有关规定公开相关预决算信息，用以反映和考核部门预决算管理的公开透明情况。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基础信息</w:t>
            </w:r>
          </w:p>
          <w:p>
            <w:pPr>
              <w:spacing w:line="240" w:lineRule="exact"/>
              <w:jc w:val="center"/>
              <w:rPr>
                <w:rFonts w:hint="eastAsia" w:ascii="仿宋_GB2312" w:eastAsia="仿宋_GB2312"/>
                <w:sz w:val="21"/>
                <w:szCs w:val="21"/>
              </w:rPr>
            </w:pPr>
            <w:r>
              <w:rPr>
                <w:rFonts w:hint="eastAsia" w:ascii="仿宋_GB2312" w:eastAsia="仿宋_GB2312"/>
                <w:sz w:val="21"/>
                <w:szCs w:val="21"/>
              </w:rPr>
              <w:t>完善性（1分）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部门基础信息是否完善，用以反映和考核基础信息对预算管理工作的支撑情况。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资产</w:t>
            </w:r>
            <w:r>
              <w:rPr>
                <w:rFonts w:hint="eastAsia" w:ascii="仿宋_GB2312" w:eastAsia="仿宋_GB2312"/>
                <w:sz w:val="21"/>
                <w:szCs w:val="21"/>
              </w:rPr>
              <w:br w:type="textWrapping"/>
            </w:r>
            <w:r>
              <w:rPr>
                <w:rFonts w:hint="eastAsia" w:ascii="仿宋_GB2312" w:eastAsia="仿宋_GB2312"/>
                <w:sz w:val="21"/>
                <w:szCs w:val="21"/>
              </w:rPr>
              <w:t>管理</w:t>
            </w:r>
          </w:p>
          <w:p>
            <w:pPr>
              <w:spacing w:line="240" w:lineRule="exact"/>
              <w:rPr>
                <w:rFonts w:hint="eastAsia" w:ascii="仿宋_GB2312" w:eastAsia="仿宋_GB2312"/>
                <w:sz w:val="21"/>
                <w:szCs w:val="21"/>
              </w:rPr>
            </w:pPr>
            <w:r>
              <w:rPr>
                <w:rFonts w:hint="eastAsia" w:ascii="仿宋_GB2312" w:eastAsia="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管理制度</w:t>
            </w:r>
          </w:p>
          <w:p>
            <w:pPr>
              <w:spacing w:line="240" w:lineRule="exact"/>
              <w:jc w:val="center"/>
              <w:rPr>
                <w:rFonts w:hint="eastAsia" w:ascii="仿宋_GB2312" w:eastAsia="仿宋_GB2312"/>
                <w:sz w:val="21"/>
                <w:szCs w:val="21"/>
              </w:rPr>
            </w:pPr>
            <w:r>
              <w:rPr>
                <w:rFonts w:hint="eastAsia" w:ascii="仿宋_GB2312" w:eastAsia="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资产管理</w:t>
            </w:r>
          </w:p>
          <w:p>
            <w:pPr>
              <w:spacing w:line="240" w:lineRule="exact"/>
              <w:jc w:val="center"/>
              <w:rPr>
                <w:rFonts w:hint="eastAsia" w:ascii="仿宋_GB2312" w:eastAsia="仿宋_GB2312"/>
                <w:sz w:val="21"/>
                <w:szCs w:val="21"/>
              </w:rPr>
            </w:pPr>
            <w:r>
              <w:rPr>
                <w:rFonts w:hint="eastAsia" w:ascii="仿宋_GB2312" w:eastAsia="仿宋_GB2312"/>
                <w:sz w:val="21"/>
                <w:szCs w:val="21"/>
              </w:rPr>
              <w:t>安全性（2分）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部门的资产是否保存完整、使用合规、配置合理、处置规范、收入及时足额上缴，用以反映和考核部门资产安全运行情况。</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固定资产</w:t>
            </w:r>
          </w:p>
          <w:p>
            <w:pPr>
              <w:spacing w:line="240" w:lineRule="exact"/>
              <w:jc w:val="center"/>
              <w:rPr>
                <w:rFonts w:hint="eastAsia" w:ascii="仿宋_GB2312" w:eastAsia="仿宋_GB2312"/>
                <w:sz w:val="21"/>
                <w:szCs w:val="21"/>
              </w:rPr>
            </w:pPr>
            <w:r>
              <w:rPr>
                <w:rFonts w:hint="eastAsia" w:ascii="仿宋_GB2312" w:eastAsia="仿宋_GB2312"/>
                <w:sz w:val="21"/>
                <w:szCs w:val="21"/>
              </w:rPr>
              <w:t>利用率（1分）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部门实际在用固定资产总额与所有固定资产总额的比率，用以反映和考核部门固定资产使用效率程度。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r>
              <w:rPr>
                <w:rFonts w:hint="eastAsia" w:ascii="仿宋_GB2312" w:eastAsia="仿宋_GB2312"/>
                <w:sz w:val="21"/>
                <w:szCs w:val="21"/>
              </w:rPr>
              <w:t>产   出（30分）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职责</w:t>
            </w:r>
            <w:r>
              <w:rPr>
                <w:rFonts w:hint="eastAsia" w:ascii="仿宋_GB2312" w:eastAsia="仿宋_GB2312"/>
                <w:sz w:val="21"/>
                <w:szCs w:val="21"/>
              </w:rPr>
              <w:br w:type="textWrapping"/>
            </w:r>
            <w:r>
              <w:rPr>
                <w:rFonts w:hint="eastAsia" w:ascii="仿宋_GB2312" w:eastAsia="仿宋_GB2312"/>
                <w:sz w:val="21"/>
                <w:szCs w:val="21"/>
              </w:rPr>
              <w:t>履行</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实际完成率（8分）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部门履行职责而实际完成工作数与计划工作数的比率，用以反映和考核部门履职工作任务目标的实现程度。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完成及时率（4分）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部门在规定时限内及时完成的实际工作数与计划工作数的比率,用以反映和考核部门履职时效目标的实现程度。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完成及时率=（及时完成实际工作数/计划工作数）×100%。1-4季度各得1分</w:t>
            </w:r>
            <w:r>
              <w:rPr>
                <w:rFonts w:hint="eastAsia" w:ascii="仿宋_GB2312" w:eastAsia="仿宋_GB2312"/>
                <w:sz w:val="21"/>
                <w:szCs w:val="21"/>
              </w:rPr>
              <w:br w:type="textWrapping"/>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质量达标率（8分）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达到质量标准（绩效标准值）的实际工作数与计划工作数的比率,用以反映和考核部门履职质量目标的实现程度。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重点工作</w:t>
            </w:r>
          </w:p>
          <w:p>
            <w:pPr>
              <w:spacing w:line="240" w:lineRule="exact"/>
              <w:jc w:val="center"/>
              <w:rPr>
                <w:rFonts w:hint="eastAsia" w:ascii="仿宋_GB2312" w:eastAsia="仿宋_GB2312"/>
                <w:sz w:val="21"/>
                <w:szCs w:val="21"/>
              </w:rPr>
            </w:pPr>
            <w:r>
              <w:rPr>
                <w:rFonts w:hint="eastAsia" w:ascii="仿宋_GB2312" w:eastAsia="仿宋_GB2312"/>
                <w:sz w:val="21"/>
                <w:szCs w:val="21"/>
              </w:rPr>
              <w:t>办结率（10分）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部门年度重点工作实际完成数与交办或下达数的比率，用以反映部门对重点工作的办理落实程度。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rPr>
                <w:rFonts w:hint="eastAsia" w:ascii="仿宋_GB2312" w:eastAsia="仿宋_GB2312"/>
                <w:sz w:val="21"/>
                <w:szCs w:val="21"/>
              </w:rPr>
            </w:pPr>
            <w:r>
              <w:rPr>
                <w:rFonts w:hint="eastAsia" w:ascii="仿宋_GB2312" w:eastAsia="仿宋_GB2312"/>
                <w:sz w:val="21"/>
                <w:szCs w:val="21"/>
              </w:rPr>
              <w:t>效   果（20分）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eastAsia="仿宋_GB2312"/>
                <w:sz w:val="21"/>
                <w:szCs w:val="21"/>
              </w:rPr>
            </w:pPr>
            <w:r>
              <w:rPr>
                <w:rFonts w:hint="eastAsia" w:ascii="仿宋_GB2312" w:eastAsia="仿宋_GB2312"/>
                <w:sz w:val="21"/>
                <w:szCs w:val="21"/>
              </w:rPr>
              <w:t>履职</w:t>
            </w:r>
            <w:r>
              <w:rPr>
                <w:rFonts w:hint="eastAsia" w:ascii="仿宋_GB2312" w:eastAsia="仿宋_GB2312"/>
                <w:sz w:val="21"/>
                <w:szCs w:val="21"/>
              </w:rPr>
              <w:br w:type="textWrapping"/>
            </w:r>
            <w:r>
              <w:rPr>
                <w:rFonts w:hint="eastAsia" w:ascii="仿宋_GB2312" w:eastAsia="仿宋_GB2312"/>
                <w:sz w:val="21"/>
                <w:szCs w:val="21"/>
              </w:rPr>
              <w:t>效益（20分）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经济效益（5分）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部门履行职责对经济发展所带来的直接或间接影响。</w:t>
            </w:r>
          </w:p>
        </w:tc>
        <w:tc>
          <w:tcPr>
            <w:tcW w:w="372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社会效益（5分）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部门履行职责对社会发展所带来的直接或间接影响。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生态效益（5分）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部门履行职责对生态环境所带来的直接或间接影响。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nil"/>
              <w:right w:val="single" w:color="auto" w:sz="4" w:space="0"/>
            </w:tcBorders>
            <w:noWrap w:val="0"/>
            <w:vAlign w:val="center"/>
          </w:tcPr>
          <w:p>
            <w:pPr>
              <w:spacing w:line="240" w:lineRule="exact"/>
              <w:rPr>
                <w:rFonts w:hint="eastAsia" w:ascii="仿宋_GB2312" w:eastAsia="仿宋_GB2312"/>
                <w:sz w:val="21"/>
                <w:szCs w:val="21"/>
              </w:rPr>
            </w:pPr>
          </w:p>
        </w:tc>
        <w:tc>
          <w:tcPr>
            <w:tcW w:w="570" w:type="dxa"/>
            <w:vMerge w:val="continue"/>
            <w:tcBorders>
              <w:top w:val="nil"/>
              <w:left w:val="single" w:color="auto" w:sz="4" w:space="0"/>
              <w:bottom w:val="nil"/>
              <w:right w:val="single" w:color="auto" w:sz="4" w:space="0"/>
            </w:tcBorders>
            <w:noWrap w:val="0"/>
            <w:vAlign w:val="center"/>
          </w:tcPr>
          <w:p>
            <w:pPr>
              <w:spacing w:line="240" w:lineRule="exact"/>
              <w:rPr>
                <w:rFonts w:hint="eastAsia" w:ascii="仿宋_GB2312" w:eastAsia="仿宋_GB2312"/>
                <w:sz w:val="21"/>
                <w:szCs w:val="21"/>
              </w:rPr>
            </w:pPr>
          </w:p>
        </w:tc>
        <w:tc>
          <w:tcPr>
            <w:tcW w:w="703" w:type="dxa"/>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社会公众</w:t>
            </w:r>
          </w:p>
          <w:p>
            <w:pPr>
              <w:spacing w:line="240" w:lineRule="exact"/>
              <w:jc w:val="center"/>
              <w:rPr>
                <w:rFonts w:hint="eastAsia" w:ascii="仿宋_GB2312" w:eastAsia="仿宋_GB2312"/>
                <w:sz w:val="21"/>
                <w:szCs w:val="21"/>
              </w:rPr>
            </w:pPr>
            <w:r>
              <w:rPr>
                <w:rFonts w:hint="eastAsia" w:ascii="仿宋_GB2312" w:eastAsia="仿宋_GB2312"/>
                <w:sz w:val="21"/>
                <w:szCs w:val="21"/>
              </w:rPr>
              <w:t>或服务对</w:t>
            </w:r>
          </w:p>
          <w:p>
            <w:pPr>
              <w:spacing w:line="240" w:lineRule="exact"/>
              <w:jc w:val="center"/>
              <w:rPr>
                <w:rFonts w:hint="eastAsia" w:ascii="仿宋_GB2312" w:eastAsia="仿宋_GB2312"/>
                <w:sz w:val="21"/>
                <w:szCs w:val="21"/>
              </w:rPr>
            </w:pPr>
            <w:r>
              <w:rPr>
                <w:rFonts w:hint="eastAsia" w:ascii="仿宋_GB2312" w:eastAsia="仿宋_GB2312"/>
                <w:sz w:val="21"/>
                <w:szCs w:val="21"/>
              </w:rPr>
              <w:t>象满意度（5分）</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2976" w:type="dxa"/>
            <w:tcBorders>
              <w:top w:val="nil"/>
              <w:left w:val="single" w:color="auto" w:sz="4" w:space="0"/>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社会公众或部门的服务对象对部门履职效果的满意程度。</w:t>
            </w:r>
          </w:p>
        </w:tc>
        <w:tc>
          <w:tcPr>
            <w:tcW w:w="3722" w:type="dxa"/>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按收集到的服务对象的满意率计算得分（5分）</w:t>
            </w:r>
          </w:p>
        </w:tc>
      </w:tr>
      <w:tr>
        <w:tblPrEx>
          <w:tblCellMar>
            <w:top w:w="0" w:type="dxa"/>
            <w:left w:w="0" w:type="dxa"/>
            <w:bottom w:w="0" w:type="dxa"/>
            <w:right w:w="0" w:type="dxa"/>
          </w:tblCellMar>
        </w:tblPrEx>
        <w:trPr>
          <w:trHeight w:val="567" w:hRule="atLeast"/>
        </w:trPr>
        <w:tc>
          <w:tcPr>
            <w:tcW w:w="1820" w:type="dxa"/>
            <w:gridSpan w:val="3"/>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合   计</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99</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仿宋_GB2312"/>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9381D"/>
    <w:rsid w:val="47D9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2020-04-29T03:00:00Z</dcterms:created>
  <dc:creator>Volar</dc:creator>
  <cp:lastModifiedBy>Volar</cp:lastModifiedBy>
  <dcterms:modified xsi:type="dcterms:W3CDTF">2020-04-29T03:01:18Z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