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eastAsia="方正小标宋_GBK"/>
          <w:bCs/>
          <w:sz w:val="44"/>
          <w:szCs w:val="44"/>
        </w:rPr>
      </w:pPr>
      <w:bookmarkStart w:id="0" w:name="_GoBack"/>
      <w:r>
        <w:rPr>
          <w:rFonts w:hint="eastAsia" w:ascii="方正小标宋_GBK" w:eastAsia="方正小标宋_GBK"/>
          <w:bCs/>
          <w:sz w:val="44"/>
          <w:szCs w:val="44"/>
        </w:rPr>
        <w:t>2019年度部门整体支出绩效自评指标计分表</w:t>
      </w:r>
      <w:bookmarkEnd w:id="0"/>
    </w:p>
    <w:tbl>
      <w:tblPr>
        <w:tblStyle w:val="4"/>
        <w:tblW w:w="5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694"/>
        <w:gridCol w:w="660"/>
        <w:gridCol w:w="843"/>
        <w:gridCol w:w="640"/>
        <w:gridCol w:w="2963"/>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tblHeader/>
          <w:jc w:val="center"/>
        </w:trPr>
        <w:tc>
          <w:tcPr>
            <w:tcW w:w="355" w:type="pct"/>
            <w:noWrap w:val="0"/>
            <w:tcMar>
              <w:top w:w="10" w:type="dxa"/>
              <w:left w:w="10" w:type="dxa"/>
              <w:bottom w:w="0" w:type="dxa"/>
              <w:right w:w="10" w:type="dxa"/>
            </w:tcMar>
            <w:vAlign w:val="center"/>
          </w:tcPr>
          <w:p>
            <w:pPr>
              <w:spacing w:line="240" w:lineRule="exact"/>
              <w:jc w:val="center"/>
              <w:rPr>
                <w:rFonts w:hint="eastAsia" w:ascii="黑体" w:hAnsi="黑体" w:eastAsia="黑体" w:cs="黑体"/>
                <w:bCs/>
                <w:szCs w:val="21"/>
              </w:rPr>
            </w:pPr>
            <w:r>
              <w:rPr>
                <w:rFonts w:hint="eastAsia" w:ascii="黑体" w:hAnsi="黑体" w:eastAsia="黑体" w:cs="黑体"/>
                <w:bCs/>
                <w:szCs w:val="21"/>
              </w:rPr>
              <w:t>一级</w:t>
            </w:r>
            <w:r>
              <w:rPr>
                <w:rFonts w:hint="eastAsia" w:ascii="黑体" w:hAnsi="黑体" w:eastAsia="黑体" w:cs="黑体"/>
                <w:bCs/>
                <w:szCs w:val="21"/>
              </w:rPr>
              <w:br w:type="textWrapping"/>
            </w:r>
            <w:r>
              <w:rPr>
                <w:rFonts w:hint="eastAsia" w:ascii="黑体" w:hAnsi="黑体" w:eastAsia="黑体" w:cs="黑体"/>
                <w:bCs/>
                <w:szCs w:val="21"/>
              </w:rPr>
              <w:t>指标</w:t>
            </w:r>
          </w:p>
        </w:tc>
        <w:tc>
          <w:tcPr>
            <w:tcW w:w="338" w:type="pct"/>
            <w:noWrap w:val="0"/>
            <w:tcMar>
              <w:top w:w="10" w:type="dxa"/>
              <w:left w:w="10" w:type="dxa"/>
              <w:bottom w:w="0" w:type="dxa"/>
              <w:right w:w="10" w:type="dxa"/>
            </w:tcMar>
            <w:vAlign w:val="center"/>
          </w:tcPr>
          <w:p>
            <w:pPr>
              <w:spacing w:line="240" w:lineRule="exact"/>
              <w:jc w:val="center"/>
              <w:rPr>
                <w:rFonts w:hint="eastAsia" w:ascii="黑体" w:hAnsi="黑体" w:eastAsia="黑体" w:cs="黑体"/>
                <w:bCs/>
                <w:szCs w:val="21"/>
              </w:rPr>
            </w:pPr>
            <w:r>
              <w:rPr>
                <w:rFonts w:hint="eastAsia" w:ascii="黑体" w:hAnsi="黑体" w:eastAsia="黑体" w:cs="黑体"/>
                <w:bCs/>
                <w:szCs w:val="21"/>
              </w:rPr>
              <w:t>二级</w:t>
            </w:r>
          </w:p>
          <w:p>
            <w:pPr>
              <w:spacing w:line="240" w:lineRule="exact"/>
              <w:jc w:val="center"/>
              <w:rPr>
                <w:rFonts w:hint="eastAsia" w:ascii="黑体" w:hAnsi="黑体" w:eastAsia="黑体" w:cs="黑体"/>
                <w:bCs/>
                <w:szCs w:val="21"/>
              </w:rPr>
            </w:pPr>
            <w:r>
              <w:rPr>
                <w:rFonts w:hint="eastAsia" w:ascii="黑体" w:hAnsi="黑体" w:eastAsia="黑体" w:cs="黑体"/>
                <w:bCs/>
                <w:szCs w:val="21"/>
              </w:rPr>
              <w:t>指标</w:t>
            </w:r>
          </w:p>
        </w:tc>
        <w:tc>
          <w:tcPr>
            <w:tcW w:w="432" w:type="pct"/>
            <w:noWrap w:val="0"/>
            <w:tcMar>
              <w:top w:w="10" w:type="dxa"/>
              <w:left w:w="10" w:type="dxa"/>
              <w:bottom w:w="0" w:type="dxa"/>
              <w:right w:w="10" w:type="dxa"/>
            </w:tcMar>
            <w:vAlign w:val="center"/>
          </w:tcPr>
          <w:p>
            <w:pPr>
              <w:spacing w:line="240" w:lineRule="exact"/>
              <w:jc w:val="center"/>
              <w:rPr>
                <w:rFonts w:hint="eastAsia" w:ascii="黑体" w:hAnsi="黑体" w:eastAsia="黑体" w:cs="黑体"/>
                <w:bCs/>
                <w:szCs w:val="21"/>
              </w:rPr>
            </w:pPr>
            <w:r>
              <w:rPr>
                <w:rFonts w:hint="eastAsia" w:ascii="黑体" w:hAnsi="黑体" w:eastAsia="黑体" w:cs="黑体"/>
                <w:bCs/>
                <w:szCs w:val="21"/>
              </w:rPr>
              <w:t>三级</w:t>
            </w:r>
          </w:p>
          <w:p>
            <w:pPr>
              <w:spacing w:line="240" w:lineRule="exact"/>
              <w:jc w:val="center"/>
              <w:rPr>
                <w:rFonts w:hint="eastAsia" w:ascii="黑体" w:hAnsi="黑体" w:eastAsia="黑体" w:cs="黑体"/>
                <w:bCs/>
                <w:szCs w:val="21"/>
              </w:rPr>
            </w:pPr>
            <w:r>
              <w:rPr>
                <w:rFonts w:hint="eastAsia" w:ascii="黑体" w:hAnsi="黑体" w:eastAsia="黑体" w:cs="黑体"/>
                <w:bCs/>
                <w:szCs w:val="21"/>
              </w:rPr>
              <w:t>指标</w:t>
            </w:r>
          </w:p>
        </w:tc>
        <w:tc>
          <w:tcPr>
            <w:tcW w:w="328" w:type="pct"/>
            <w:noWrap w:val="0"/>
            <w:vAlign w:val="center"/>
          </w:tcPr>
          <w:p>
            <w:pPr>
              <w:spacing w:line="240" w:lineRule="exact"/>
              <w:jc w:val="center"/>
              <w:rPr>
                <w:rFonts w:hint="eastAsia" w:ascii="黑体" w:hAnsi="黑体" w:eastAsia="黑体" w:cs="黑体"/>
                <w:bCs/>
                <w:szCs w:val="21"/>
              </w:rPr>
            </w:pPr>
            <w:r>
              <w:rPr>
                <w:rFonts w:hint="eastAsia" w:ascii="黑体" w:hAnsi="黑体" w:eastAsia="黑体" w:cs="黑体"/>
                <w:bCs/>
                <w:szCs w:val="21"/>
              </w:rPr>
              <w:t>自评分</w:t>
            </w:r>
          </w:p>
        </w:tc>
        <w:tc>
          <w:tcPr>
            <w:tcW w:w="1518" w:type="pct"/>
            <w:noWrap w:val="0"/>
            <w:tcMar>
              <w:top w:w="10" w:type="dxa"/>
              <w:left w:w="10" w:type="dxa"/>
              <w:bottom w:w="0" w:type="dxa"/>
              <w:right w:w="10" w:type="dxa"/>
            </w:tcMar>
            <w:vAlign w:val="center"/>
          </w:tcPr>
          <w:p>
            <w:pPr>
              <w:spacing w:line="240" w:lineRule="exact"/>
              <w:jc w:val="center"/>
              <w:rPr>
                <w:rFonts w:hint="eastAsia" w:ascii="黑体" w:hAnsi="黑体" w:eastAsia="黑体" w:cs="黑体"/>
                <w:bCs/>
                <w:szCs w:val="21"/>
              </w:rPr>
            </w:pPr>
            <w:r>
              <w:rPr>
                <w:rFonts w:hint="eastAsia" w:ascii="黑体" w:hAnsi="黑体" w:eastAsia="黑体" w:cs="黑体"/>
                <w:bCs/>
                <w:szCs w:val="21"/>
              </w:rPr>
              <w:t>指标解释</w:t>
            </w:r>
          </w:p>
        </w:tc>
        <w:tc>
          <w:tcPr>
            <w:tcW w:w="2029" w:type="pct"/>
            <w:noWrap w:val="0"/>
            <w:tcMar>
              <w:top w:w="10" w:type="dxa"/>
              <w:left w:w="10" w:type="dxa"/>
              <w:bottom w:w="0" w:type="dxa"/>
              <w:right w:w="10" w:type="dxa"/>
            </w:tcMar>
            <w:vAlign w:val="center"/>
          </w:tcPr>
          <w:p>
            <w:pPr>
              <w:spacing w:line="240" w:lineRule="exact"/>
              <w:jc w:val="center"/>
              <w:rPr>
                <w:rFonts w:hint="eastAsia" w:ascii="黑体" w:hAnsi="黑体" w:eastAsia="黑体" w:cs="黑体"/>
                <w:bCs/>
                <w:szCs w:val="21"/>
              </w:rPr>
            </w:pPr>
            <w:r>
              <w:rPr>
                <w:rFonts w:hint="eastAsia" w:ascii="黑体" w:hAnsi="黑体" w:eastAsia="黑体" w:cs="黑体"/>
                <w:bCs/>
                <w:szCs w:val="21"/>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restart"/>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投   入（20分）</w:t>
            </w:r>
          </w:p>
        </w:tc>
        <w:tc>
          <w:tcPr>
            <w:tcW w:w="338" w:type="pct"/>
            <w:vMerge w:val="restar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目标</w:t>
            </w:r>
            <w:r>
              <w:rPr>
                <w:rFonts w:hint="eastAsia" w:ascii="仿宋" w:hAnsi="仿宋" w:eastAsia="仿宋" w:cs="仿宋"/>
                <w:szCs w:val="21"/>
              </w:rPr>
              <w:br w:type="textWrapping"/>
            </w:r>
            <w:r>
              <w:rPr>
                <w:rFonts w:hint="eastAsia" w:ascii="仿宋" w:hAnsi="仿宋" w:eastAsia="仿宋" w:cs="仿宋"/>
                <w:szCs w:val="21"/>
              </w:rPr>
              <w:t>设定（5分）</w:t>
            </w:r>
          </w:p>
        </w:tc>
        <w:tc>
          <w:tcPr>
            <w:tcW w:w="432" w:type="pct"/>
            <w:noWrap w:val="0"/>
            <w:tcMar>
              <w:top w:w="10" w:type="dxa"/>
              <w:left w:w="10" w:type="dxa"/>
              <w:bottom w:w="0" w:type="dxa"/>
              <w:right w:w="10" w:type="dxa"/>
            </w:tcMar>
            <w:vAlign w:val="center"/>
          </w:tcPr>
          <w:p>
            <w:pPr>
              <w:spacing w:line="220" w:lineRule="exact"/>
              <w:jc w:val="center"/>
              <w:rPr>
                <w:rFonts w:hint="eastAsia" w:ascii="仿宋" w:hAnsi="仿宋" w:eastAsia="仿宋" w:cs="仿宋"/>
                <w:szCs w:val="21"/>
              </w:rPr>
            </w:pPr>
            <w:r>
              <w:rPr>
                <w:rFonts w:hint="eastAsia" w:ascii="仿宋" w:hAnsi="仿宋" w:eastAsia="仿宋" w:cs="仿宋"/>
                <w:szCs w:val="21"/>
              </w:rPr>
              <w:t xml:space="preserve"> </w:t>
            </w:r>
          </w:p>
        </w:tc>
        <w:tc>
          <w:tcPr>
            <w:tcW w:w="328" w:type="pct"/>
            <w:noWrap w:val="0"/>
            <w:vAlign w:val="center"/>
          </w:tcPr>
          <w:p>
            <w:pPr>
              <w:tabs>
                <w:tab w:val="left" w:pos="2604"/>
              </w:tabs>
              <w:spacing w:line="220" w:lineRule="exact"/>
              <w:jc w:val="center"/>
              <w:rPr>
                <w:rFonts w:hint="eastAsia" w:ascii="仿宋" w:hAnsi="仿宋" w:eastAsia="仿宋" w:cs="仿宋"/>
                <w:szCs w:val="21"/>
              </w:rPr>
            </w:pPr>
            <w:r>
              <w:rPr>
                <w:rFonts w:hint="eastAsia" w:ascii="仿宋" w:hAnsi="仿宋" w:eastAsia="仿宋" w:cs="仿宋"/>
                <w:szCs w:val="21"/>
              </w:rPr>
              <w:t>2</w:t>
            </w:r>
          </w:p>
        </w:tc>
        <w:tc>
          <w:tcPr>
            <w:tcW w:w="1518" w:type="pct"/>
            <w:noWrap w:val="0"/>
            <w:tcMar>
              <w:top w:w="10" w:type="dxa"/>
              <w:left w:w="10" w:type="dxa"/>
              <w:bottom w:w="0" w:type="dxa"/>
              <w:right w:w="10" w:type="dxa"/>
            </w:tcMar>
            <w:vAlign w:val="center"/>
          </w:tcPr>
          <w:p>
            <w:pPr>
              <w:tabs>
                <w:tab w:val="left" w:pos="2604"/>
              </w:tabs>
              <w:spacing w:line="220" w:lineRule="exact"/>
              <w:rPr>
                <w:rFonts w:hint="eastAsia" w:ascii="仿宋" w:hAnsi="仿宋" w:eastAsia="仿宋" w:cs="仿宋"/>
                <w:szCs w:val="21"/>
              </w:rPr>
            </w:pPr>
            <w:r>
              <w:rPr>
                <w:rFonts w:hint="eastAsia" w:ascii="仿宋" w:hAnsi="仿宋" w:eastAsia="仿宋" w:cs="仿宋"/>
                <w:szCs w:val="21"/>
              </w:rPr>
              <w:t>部门所设立的整体绩效目标依据是否充分，是否符合客观实际，用以反映和考核部门整体绩效目标与部门履职、年度工作任务的相符性情况。</w:t>
            </w:r>
          </w:p>
        </w:tc>
        <w:tc>
          <w:tcPr>
            <w:tcW w:w="2029" w:type="pct"/>
            <w:noWrap w:val="0"/>
            <w:tcMar>
              <w:top w:w="10" w:type="dxa"/>
              <w:left w:w="10" w:type="dxa"/>
              <w:bottom w:w="0" w:type="dxa"/>
              <w:right w:w="10" w:type="dxa"/>
            </w:tcMar>
            <w:vAlign w:val="center"/>
          </w:tcPr>
          <w:p>
            <w:pPr>
              <w:spacing w:line="220" w:lineRule="exact"/>
              <w:rPr>
                <w:rFonts w:hint="eastAsia" w:ascii="仿宋" w:hAnsi="仿宋" w:eastAsia="仿宋" w:cs="仿宋"/>
                <w:szCs w:val="21"/>
              </w:rPr>
            </w:pPr>
            <w:r>
              <w:rPr>
                <w:rFonts w:hint="eastAsia" w:ascii="仿宋" w:hAnsi="仿宋" w:eastAsia="仿宋" w:cs="仿宋"/>
                <w:szCs w:val="21"/>
              </w:rPr>
              <w:t>我委设立的整体绩效目标符合国家法律法规、国民经济和社会发展总体规划；符合部门“三定”方案确定的职责；符合部门制定的中长期实施规划。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43"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20" w:lineRule="exact"/>
              <w:jc w:val="center"/>
              <w:rPr>
                <w:rFonts w:hint="eastAsia" w:ascii="仿宋" w:hAnsi="仿宋" w:eastAsia="仿宋" w:cs="仿宋"/>
                <w:szCs w:val="21"/>
              </w:rPr>
            </w:pPr>
            <w:r>
              <w:rPr>
                <w:rFonts w:hint="eastAsia" w:ascii="仿宋" w:hAnsi="仿宋" w:eastAsia="仿宋" w:cs="仿宋"/>
                <w:szCs w:val="21"/>
              </w:rPr>
              <w:t>绩效指标明确性（3分）</w:t>
            </w:r>
          </w:p>
        </w:tc>
        <w:tc>
          <w:tcPr>
            <w:tcW w:w="328" w:type="pct"/>
            <w:noWrap w:val="0"/>
            <w:vAlign w:val="center"/>
          </w:tcPr>
          <w:p>
            <w:pPr>
              <w:tabs>
                <w:tab w:val="left" w:pos="2604"/>
              </w:tabs>
              <w:spacing w:line="220" w:lineRule="exact"/>
              <w:jc w:val="center"/>
              <w:rPr>
                <w:rFonts w:hint="eastAsia" w:ascii="仿宋" w:hAnsi="仿宋" w:eastAsia="仿宋" w:cs="仿宋"/>
                <w:szCs w:val="21"/>
              </w:rPr>
            </w:pPr>
            <w:r>
              <w:rPr>
                <w:rFonts w:hint="eastAsia" w:ascii="仿宋" w:hAnsi="仿宋" w:eastAsia="仿宋" w:cs="仿宋"/>
                <w:szCs w:val="21"/>
              </w:rPr>
              <w:t>3</w:t>
            </w:r>
          </w:p>
        </w:tc>
        <w:tc>
          <w:tcPr>
            <w:tcW w:w="1518" w:type="pct"/>
            <w:noWrap w:val="0"/>
            <w:tcMar>
              <w:top w:w="10" w:type="dxa"/>
              <w:left w:w="10" w:type="dxa"/>
              <w:bottom w:w="0" w:type="dxa"/>
              <w:right w:w="10" w:type="dxa"/>
            </w:tcMar>
            <w:vAlign w:val="center"/>
          </w:tcPr>
          <w:p>
            <w:pPr>
              <w:tabs>
                <w:tab w:val="left" w:pos="2604"/>
              </w:tabs>
              <w:spacing w:line="220" w:lineRule="exact"/>
              <w:rPr>
                <w:rFonts w:hint="eastAsia" w:ascii="仿宋" w:hAnsi="仿宋" w:eastAsia="仿宋" w:cs="仿宋"/>
                <w:szCs w:val="21"/>
              </w:rPr>
            </w:pPr>
            <w:r>
              <w:rPr>
                <w:rFonts w:hint="eastAsia" w:ascii="仿宋" w:hAnsi="仿宋" w:eastAsia="仿宋" w:cs="仿宋"/>
                <w:szCs w:val="21"/>
              </w:rPr>
              <w:t>部门依据整体绩效目标所设定的绩效指标是否清晰、细化、可衡量，用以反映和考核部门整体绩效目标的明细化情况。</w:t>
            </w:r>
          </w:p>
        </w:tc>
        <w:tc>
          <w:tcPr>
            <w:tcW w:w="2029" w:type="pct"/>
            <w:noWrap w:val="0"/>
            <w:tcMar>
              <w:top w:w="10" w:type="dxa"/>
              <w:left w:w="10" w:type="dxa"/>
              <w:bottom w:w="0" w:type="dxa"/>
              <w:right w:w="10" w:type="dxa"/>
            </w:tcMar>
            <w:vAlign w:val="center"/>
          </w:tcPr>
          <w:p>
            <w:pPr>
              <w:spacing w:line="220" w:lineRule="exact"/>
              <w:rPr>
                <w:rFonts w:hint="eastAsia" w:ascii="仿宋" w:hAnsi="仿宋" w:eastAsia="仿宋" w:cs="仿宋"/>
                <w:szCs w:val="21"/>
              </w:rPr>
            </w:pPr>
            <w:r>
              <w:rPr>
                <w:rFonts w:hint="eastAsia" w:ascii="仿宋" w:hAnsi="仿宋" w:eastAsia="仿宋" w:cs="仿宋"/>
                <w:szCs w:val="21"/>
              </w:rPr>
              <w:t>我委将部门整体的绩效目标细化分解为具体的工作任务；通过清晰、可衡量的指标值予以体现。与部门年度的任务数或计划数相对应；与本年度部门预算资金相匹配。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restar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预算</w:t>
            </w:r>
            <w:r>
              <w:rPr>
                <w:rFonts w:hint="eastAsia" w:ascii="仿宋" w:hAnsi="仿宋" w:eastAsia="仿宋" w:cs="仿宋"/>
                <w:szCs w:val="21"/>
              </w:rPr>
              <w:br w:type="textWrapping"/>
            </w:r>
            <w:r>
              <w:rPr>
                <w:rFonts w:hint="eastAsia" w:ascii="仿宋" w:hAnsi="仿宋" w:eastAsia="仿宋" w:cs="仿宋"/>
                <w:szCs w:val="21"/>
              </w:rPr>
              <w:t>配置（15分）</w:t>
            </w:r>
          </w:p>
        </w:tc>
        <w:tc>
          <w:tcPr>
            <w:tcW w:w="432" w:type="pct"/>
            <w:noWrap w:val="0"/>
            <w:tcMar>
              <w:top w:w="10" w:type="dxa"/>
              <w:left w:w="10" w:type="dxa"/>
              <w:bottom w:w="0" w:type="dxa"/>
              <w:right w:w="10" w:type="dxa"/>
            </w:tcMar>
            <w:vAlign w:val="center"/>
          </w:tcPr>
          <w:p>
            <w:pPr>
              <w:spacing w:line="220" w:lineRule="exact"/>
              <w:jc w:val="center"/>
              <w:rPr>
                <w:rFonts w:hint="eastAsia" w:ascii="仿宋" w:hAnsi="仿宋" w:eastAsia="仿宋" w:cs="仿宋"/>
                <w:szCs w:val="21"/>
              </w:rPr>
            </w:pPr>
            <w:r>
              <w:rPr>
                <w:rFonts w:hint="eastAsia" w:ascii="仿宋" w:hAnsi="仿宋" w:eastAsia="仿宋" w:cs="仿宋"/>
                <w:szCs w:val="21"/>
              </w:rPr>
              <w:t>在职人员控制率（5分）</w:t>
            </w:r>
          </w:p>
        </w:tc>
        <w:tc>
          <w:tcPr>
            <w:tcW w:w="328" w:type="pct"/>
            <w:noWrap w:val="0"/>
            <w:vAlign w:val="center"/>
          </w:tcPr>
          <w:p>
            <w:pPr>
              <w:tabs>
                <w:tab w:val="left" w:pos="2604"/>
              </w:tabs>
              <w:spacing w:line="220" w:lineRule="exact"/>
              <w:jc w:val="center"/>
              <w:rPr>
                <w:rFonts w:hint="eastAsia" w:ascii="仿宋" w:hAnsi="仿宋" w:eastAsia="仿宋" w:cs="仿宋"/>
                <w:szCs w:val="21"/>
              </w:rPr>
            </w:pPr>
            <w:r>
              <w:rPr>
                <w:rFonts w:hint="eastAsia" w:ascii="仿宋" w:hAnsi="仿宋" w:eastAsia="仿宋" w:cs="仿宋"/>
                <w:szCs w:val="21"/>
              </w:rPr>
              <w:t>5</w:t>
            </w:r>
          </w:p>
        </w:tc>
        <w:tc>
          <w:tcPr>
            <w:tcW w:w="1518" w:type="pct"/>
            <w:noWrap w:val="0"/>
            <w:tcMar>
              <w:top w:w="10" w:type="dxa"/>
              <w:left w:w="10" w:type="dxa"/>
              <w:bottom w:w="0" w:type="dxa"/>
              <w:right w:w="10" w:type="dxa"/>
            </w:tcMar>
            <w:vAlign w:val="center"/>
          </w:tcPr>
          <w:p>
            <w:pPr>
              <w:tabs>
                <w:tab w:val="left" w:pos="2604"/>
              </w:tabs>
              <w:spacing w:line="220" w:lineRule="exact"/>
              <w:rPr>
                <w:rFonts w:hint="eastAsia" w:ascii="仿宋" w:hAnsi="仿宋" w:eastAsia="仿宋" w:cs="仿宋"/>
                <w:szCs w:val="21"/>
              </w:rPr>
            </w:pPr>
            <w:r>
              <w:rPr>
                <w:rFonts w:hint="eastAsia" w:ascii="仿宋" w:hAnsi="仿宋" w:eastAsia="仿宋" w:cs="仿宋"/>
                <w:szCs w:val="21"/>
              </w:rPr>
              <w:t>部门本年度实际在职人员数与编制数的比率，用以反映和考核部门对人员成本的控制程度。</w:t>
            </w:r>
          </w:p>
        </w:tc>
        <w:tc>
          <w:tcPr>
            <w:tcW w:w="2029" w:type="pct"/>
            <w:noWrap w:val="0"/>
            <w:tcMar>
              <w:top w:w="10" w:type="dxa"/>
              <w:left w:w="10" w:type="dxa"/>
              <w:bottom w:w="0" w:type="dxa"/>
              <w:right w:w="10" w:type="dxa"/>
            </w:tcMar>
            <w:vAlign w:val="center"/>
          </w:tcPr>
          <w:p>
            <w:pPr>
              <w:spacing w:line="220" w:lineRule="exact"/>
              <w:rPr>
                <w:rFonts w:hint="eastAsia" w:ascii="仿宋" w:hAnsi="仿宋" w:eastAsia="仿宋" w:cs="仿宋"/>
                <w:szCs w:val="21"/>
              </w:rPr>
            </w:pPr>
            <w:r>
              <w:rPr>
                <w:rFonts w:hint="eastAsia" w:ascii="仿宋" w:hAnsi="仿宋" w:eastAsia="仿宋" w:cs="仿宋"/>
                <w:szCs w:val="21"/>
              </w:rPr>
              <w:t>在职人员控制率=（31/31）×100%=100%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432"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20" w:lineRule="exact"/>
              <w:jc w:val="center"/>
              <w:rPr>
                <w:rFonts w:hint="eastAsia" w:ascii="仿宋" w:hAnsi="仿宋" w:eastAsia="仿宋" w:cs="仿宋"/>
                <w:szCs w:val="21"/>
              </w:rPr>
            </w:pPr>
            <w:r>
              <w:rPr>
                <w:rFonts w:hint="eastAsia" w:ascii="仿宋" w:hAnsi="仿宋" w:eastAsia="仿宋" w:cs="仿宋"/>
                <w:szCs w:val="21"/>
              </w:rPr>
              <w:t>“三公经费”</w:t>
            </w:r>
          </w:p>
          <w:p>
            <w:pPr>
              <w:spacing w:line="220" w:lineRule="exact"/>
              <w:jc w:val="center"/>
              <w:rPr>
                <w:rFonts w:hint="eastAsia" w:ascii="仿宋" w:hAnsi="仿宋" w:eastAsia="仿宋" w:cs="仿宋"/>
                <w:szCs w:val="21"/>
              </w:rPr>
            </w:pPr>
            <w:r>
              <w:rPr>
                <w:rFonts w:hint="eastAsia" w:ascii="仿宋" w:hAnsi="仿宋" w:eastAsia="仿宋" w:cs="仿宋"/>
                <w:szCs w:val="21"/>
              </w:rPr>
              <w:t>变动率（5分）</w:t>
            </w:r>
          </w:p>
        </w:tc>
        <w:tc>
          <w:tcPr>
            <w:tcW w:w="328" w:type="pct"/>
            <w:noWrap w:val="0"/>
            <w:vAlign w:val="center"/>
          </w:tcPr>
          <w:p>
            <w:pPr>
              <w:tabs>
                <w:tab w:val="left" w:pos="2604"/>
              </w:tabs>
              <w:spacing w:line="220" w:lineRule="exact"/>
              <w:jc w:val="center"/>
              <w:rPr>
                <w:rFonts w:hint="eastAsia" w:ascii="仿宋" w:hAnsi="仿宋" w:eastAsia="仿宋" w:cs="仿宋"/>
                <w:szCs w:val="21"/>
              </w:rPr>
            </w:pPr>
            <w:r>
              <w:rPr>
                <w:rFonts w:hint="eastAsia" w:ascii="仿宋" w:hAnsi="仿宋" w:eastAsia="仿宋" w:cs="仿宋"/>
                <w:szCs w:val="21"/>
              </w:rPr>
              <w:t>3</w:t>
            </w:r>
          </w:p>
        </w:tc>
        <w:tc>
          <w:tcPr>
            <w:tcW w:w="1518" w:type="pct"/>
            <w:noWrap w:val="0"/>
            <w:tcMar>
              <w:top w:w="10" w:type="dxa"/>
              <w:left w:w="10" w:type="dxa"/>
              <w:bottom w:w="0" w:type="dxa"/>
              <w:right w:w="10" w:type="dxa"/>
            </w:tcMar>
            <w:vAlign w:val="center"/>
          </w:tcPr>
          <w:p>
            <w:pPr>
              <w:tabs>
                <w:tab w:val="left" w:pos="2604"/>
              </w:tabs>
              <w:spacing w:line="220" w:lineRule="exact"/>
              <w:rPr>
                <w:rFonts w:hint="eastAsia" w:ascii="仿宋" w:hAnsi="仿宋" w:eastAsia="仿宋" w:cs="仿宋"/>
                <w:szCs w:val="21"/>
              </w:rPr>
            </w:pPr>
            <w:r>
              <w:rPr>
                <w:rFonts w:hint="eastAsia" w:ascii="仿宋" w:hAnsi="仿宋" w:eastAsia="仿宋" w:cs="仿宋"/>
                <w:szCs w:val="21"/>
              </w:rPr>
              <w:t>部门本年度“三公经费”预算数与上年度“三公经费”预算数的变动比率，用以反映和考核部门对控制重点行政成本的努力程度。</w:t>
            </w:r>
          </w:p>
        </w:tc>
        <w:tc>
          <w:tcPr>
            <w:tcW w:w="2029" w:type="pct"/>
            <w:noWrap w:val="0"/>
            <w:tcMar>
              <w:top w:w="10" w:type="dxa"/>
              <w:left w:w="10" w:type="dxa"/>
              <w:bottom w:w="0" w:type="dxa"/>
              <w:right w:w="10" w:type="dxa"/>
            </w:tcMar>
            <w:vAlign w:val="center"/>
          </w:tcPr>
          <w:p>
            <w:pPr>
              <w:spacing w:line="220" w:lineRule="exact"/>
              <w:rPr>
                <w:rFonts w:hint="eastAsia" w:ascii="仿宋" w:hAnsi="仿宋" w:eastAsia="仿宋" w:cs="仿宋"/>
                <w:szCs w:val="21"/>
              </w:rPr>
            </w:pPr>
            <w:r>
              <w:rPr>
                <w:rFonts w:hint="eastAsia" w:ascii="仿宋" w:hAnsi="仿宋" w:eastAsia="仿宋" w:cs="仿宋"/>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669"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20" w:lineRule="exact"/>
              <w:jc w:val="center"/>
              <w:rPr>
                <w:rFonts w:hint="eastAsia" w:ascii="仿宋" w:hAnsi="仿宋" w:eastAsia="仿宋" w:cs="仿宋"/>
                <w:szCs w:val="21"/>
              </w:rPr>
            </w:pPr>
            <w:r>
              <w:rPr>
                <w:rFonts w:hint="eastAsia" w:ascii="仿宋" w:hAnsi="仿宋" w:eastAsia="仿宋" w:cs="仿宋"/>
                <w:szCs w:val="21"/>
              </w:rPr>
              <w:t>重点支出安排率（5分）</w:t>
            </w:r>
          </w:p>
        </w:tc>
        <w:tc>
          <w:tcPr>
            <w:tcW w:w="328" w:type="pct"/>
            <w:noWrap w:val="0"/>
            <w:vAlign w:val="center"/>
          </w:tcPr>
          <w:p>
            <w:pPr>
              <w:tabs>
                <w:tab w:val="left" w:pos="2604"/>
              </w:tabs>
              <w:spacing w:line="220" w:lineRule="exact"/>
              <w:jc w:val="center"/>
              <w:rPr>
                <w:rFonts w:hint="eastAsia" w:ascii="仿宋" w:hAnsi="仿宋" w:eastAsia="仿宋" w:cs="仿宋"/>
                <w:szCs w:val="21"/>
              </w:rPr>
            </w:pPr>
            <w:r>
              <w:rPr>
                <w:rFonts w:hint="eastAsia" w:ascii="仿宋" w:hAnsi="仿宋" w:eastAsia="仿宋" w:cs="仿宋"/>
                <w:szCs w:val="21"/>
              </w:rPr>
              <w:t>5</w:t>
            </w:r>
          </w:p>
        </w:tc>
        <w:tc>
          <w:tcPr>
            <w:tcW w:w="1518" w:type="pct"/>
            <w:noWrap w:val="0"/>
            <w:tcMar>
              <w:top w:w="10" w:type="dxa"/>
              <w:left w:w="10" w:type="dxa"/>
              <w:bottom w:w="0" w:type="dxa"/>
              <w:right w:w="10" w:type="dxa"/>
            </w:tcMar>
            <w:vAlign w:val="center"/>
          </w:tcPr>
          <w:p>
            <w:pPr>
              <w:tabs>
                <w:tab w:val="left" w:pos="2604"/>
              </w:tabs>
              <w:spacing w:line="220" w:lineRule="exact"/>
              <w:rPr>
                <w:rFonts w:hint="eastAsia" w:ascii="仿宋" w:hAnsi="仿宋" w:eastAsia="仿宋" w:cs="仿宋"/>
                <w:szCs w:val="21"/>
              </w:rPr>
            </w:pPr>
            <w:r>
              <w:rPr>
                <w:rFonts w:hint="eastAsia" w:ascii="仿宋" w:hAnsi="仿宋" w:eastAsia="仿宋" w:cs="仿宋"/>
                <w:szCs w:val="21"/>
              </w:rPr>
              <w:t>部门本年度预算安排的重点项目支出与部门项目总支出的比率，用以反映和考核部门对履行主要职责或完成重点任务的保障程度。</w:t>
            </w:r>
          </w:p>
        </w:tc>
        <w:tc>
          <w:tcPr>
            <w:tcW w:w="2029" w:type="pct"/>
            <w:noWrap w:val="0"/>
            <w:tcMar>
              <w:top w:w="10" w:type="dxa"/>
              <w:left w:w="10" w:type="dxa"/>
              <w:bottom w:w="0" w:type="dxa"/>
              <w:right w:w="10" w:type="dxa"/>
            </w:tcMar>
            <w:vAlign w:val="center"/>
          </w:tcPr>
          <w:p>
            <w:pPr>
              <w:spacing w:line="220" w:lineRule="exact"/>
              <w:rPr>
                <w:rFonts w:hint="eastAsia" w:ascii="仿宋" w:hAnsi="仿宋" w:eastAsia="仿宋" w:cs="仿宋"/>
                <w:szCs w:val="21"/>
              </w:rPr>
            </w:pPr>
            <w:r>
              <w:rPr>
                <w:rFonts w:hint="eastAsia" w:ascii="仿宋" w:hAnsi="仿宋" w:eastAsia="仿宋" w:cs="仿宋"/>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278" w:hRule="atLeast"/>
          <w:jc w:val="center"/>
        </w:trPr>
        <w:tc>
          <w:tcPr>
            <w:tcW w:w="355" w:type="pct"/>
            <w:vMerge w:val="restart"/>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过程（30分）</w:t>
            </w:r>
          </w:p>
        </w:tc>
        <w:tc>
          <w:tcPr>
            <w:tcW w:w="338" w:type="pct"/>
            <w:vMerge w:val="restar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预算</w:t>
            </w:r>
            <w:r>
              <w:rPr>
                <w:rFonts w:hint="eastAsia" w:ascii="仿宋" w:hAnsi="仿宋" w:eastAsia="仿宋" w:cs="仿宋"/>
                <w:szCs w:val="21"/>
              </w:rPr>
              <w:br w:type="textWrapping"/>
            </w:r>
            <w:r>
              <w:rPr>
                <w:rFonts w:hint="eastAsia" w:ascii="仿宋" w:hAnsi="仿宋" w:eastAsia="仿宋" w:cs="仿宋"/>
                <w:szCs w:val="21"/>
              </w:rPr>
              <w:t>执行</w:t>
            </w:r>
          </w:p>
          <w:p>
            <w:pPr>
              <w:spacing w:line="240" w:lineRule="exact"/>
              <w:jc w:val="center"/>
              <w:rPr>
                <w:rFonts w:hint="eastAsia" w:ascii="仿宋" w:hAnsi="仿宋" w:eastAsia="仿宋" w:cs="仿宋"/>
                <w:szCs w:val="21"/>
              </w:rPr>
            </w:pPr>
            <w:r>
              <w:rPr>
                <w:rFonts w:hint="eastAsia" w:ascii="仿宋" w:hAnsi="仿宋" w:eastAsia="仿宋" w:cs="仿宋"/>
                <w:szCs w:val="21"/>
              </w:rPr>
              <w:t>（20分）</w:t>
            </w:r>
          </w:p>
        </w:tc>
        <w:tc>
          <w:tcPr>
            <w:tcW w:w="432" w:type="pct"/>
            <w:noWrap w:val="0"/>
            <w:tcMar>
              <w:top w:w="10" w:type="dxa"/>
              <w:left w:w="10" w:type="dxa"/>
              <w:bottom w:w="0" w:type="dxa"/>
              <w:right w:w="10" w:type="dxa"/>
            </w:tcMar>
            <w:vAlign w:val="center"/>
          </w:tcPr>
          <w:p>
            <w:pPr>
              <w:spacing w:line="220" w:lineRule="exact"/>
              <w:jc w:val="center"/>
              <w:rPr>
                <w:rFonts w:hint="eastAsia" w:ascii="仿宋" w:hAnsi="仿宋" w:eastAsia="仿宋" w:cs="仿宋"/>
                <w:szCs w:val="21"/>
              </w:rPr>
            </w:pPr>
            <w:r>
              <w:rPr>
                <w:rFonts w:hint="eastAsia" w:ascii="仿宋" w:hAnsi="仿宋" w:eastAsia="仿宋" w:cs="仿宋"/>
                <w:szCs w:val="21"/>
              </w:rPr>
              <w:t>预算完成率（4分）</w:t>
            </w:r>
          </w:p>
        </w:tc>
        <w:tc>
          <w:tcPr>
            <w:tcW w:w="328" w:type="pct"/>
            <w:noWrap w:val="0"/>
            <w:vAlign w:val="center"/>
          </w:tcPr>
          <w:p>
            <w:pPr>
              <w:tabs>
                <w:tab w:val="left" w:pos="2604"/>
              </w:tabs>
              <w:spacing w:line="220" w:lineRule="exact"/>
              <w:jc w:val="center"/>
              <w:rPr>
                <w:rFonts w:hint="eastAsia" w:ascii="仿宋" w:hAnsi="仿宋" w:eastAsia="仿宋" w:cs="仿宋"/>
                <w:szCs w:val="21"/>
              </w:rPr>
            </w:pPr>
            <w:r>
              <w:rPr>
                <w:rFonts w:hint="eastAsia" w:ascii="仿宋" w:hAnsi="仿宋" w:eastAsia="仿宋" w:cs="仿宋"/>
                <w:szCs w:val="21"/>
              </w:rPr>
              <w:t>4</w:t>
            </w:r>
          </w:p>
        </w:tc>
        <w:tc>
          <w:tcPr>
            <w:tcW w:w="1518" w:type="pct"/>
            <w:noWrap w:val="0"/>
            <w:tcMar>
              <w:top w:w="10" w:type="dxa"/>
              <w:left w:w="10" w:type="dxa"/>
              <w:bottom w:w="0" w:type="dxa"/>
              <w:right w:w="10" w:type="dxa"/>
            </w:tcMar>
            <w:vAlign w:val="center"/>
          </w:tcPr>
          <w:p>
            <w:pPr>
              <w:tabs>
                <w:tab w:val="left" w:pos="2604"/>
              </w:tabs>
              <w:spacing w:line="220" w:lineRule="exact"/>
              <w:rPr>
                <w:rFonts w:hint="eastAsia" w:ascii="仿宋" w:hAnsi="仿宋" w:eastAsia="仿宋" w:cs="仿宋"/>
                <w:szCs w:val="21"/>
              </w:rPr>
            </w:pPr>
            <w:r>
              <w:rPr>
                <w:rFonts w:hint="eastAsia" w:ascii="仿宋" w:hAnsi="仿宋" w:eastAsia="仿宋" w:cs="仿宋"/>
                <w:szCs w:val="21"/>
              </w:rPr>
              <w:t>部门本年度预算完成数与预算数的比率，用以反映和考核部门预算完成程度。</w:t>
            </w:r>
          </w:p>
        </w:tc>
        <w:tc>
          <w:tcPr>
            <w:tcW w:w="2029" w:type="pct"/>
            <w:noWrap w:val="0"/>
            <w:tcMar>
              <w:top w:w="10" w:type="dxa"/>
              <w:left w:w="10" w:type="dxa"/>
              <w:bottom w:w="0" w:type="dxa"/>
              <w:right w:w="10" w:type="dxa"/>
            </w:tcMar>
            <w:vAlign w:val="center"/>
          </w:tcPr>
          <w:p>
            <w:pPr>
              <w:spacing w:line="220" w:lineRule="exact"/>
              <w:rPr>
                <w:rFonts w:hint="eastAsia" w:ascii="仿宋" w:hAnsi="仿宋" w:eastAsia="仿宋" w:cs="仿宋"/>
                <w:szCs w:val="21"/>
              </w:rPr>
            </w:pPr>
            <w:r>
              <w:rPr>
                <w:rFonts w:hint="eastAsia" w:ascii="仿宋" w:hAnsi="仿宋" w:eastAsia="仿宋" w:cs="仿宋"/>
                <w:szCs w:val="21"/>
              </w:rPr>
              <w:t>预算完成率=（预算完成数/预算数）×100%。完成年初预算计4分，未完成年初预算按比例扣减，预算完成数：部门本年度实际完成的预算数。预算数：财政部门批复的本年度部门预算数。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628" w:hRule="atLeast"/>
          <w:jc w:val="center"/>
        </w:trPr>
        <w:tc>
          <w:tcPr>
            <w:tcW w:w="355" w:type="pct"/>
            <w:vMerge w:val="continue"/>
            <w:noWrap w:val="0"/>
            <w:vAlign w:val="center"/>
          </w:tcPr>
          <w:p>
            <w:pPr>
              <w:spacing w:line="240" w:lineRule="exact"/>
              <w:jc w:val="center"/>
              <w:rPr>
                <w:rFonts w:eastAsia="方正仿宋_GBK"/>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20" w:lineRule="exact"/>
              <w:jc w:val="center"/>
              <w:rPr>
                <w:rFonts w:hint="eastAsia" w:ascii="仿宋" w:hAnsi="仿宋" w:eastAsia="仿宋" w:cs="仿宋"/>
                <w:szCs w:val="21"/>
              </w:rPr>
            </w:pPr>
            <w:r>
              <w:rPr>
                <w:rFonts w:hint="eastAsia" w:ascii="仿宋" w:hAnsi="仿宋" w:eastAsia="仿宋" w:cs="仿宋"/>
                <w:szCs w:val="21"/>
              </w:rPr>
              <w:t>预算调整率（2分）</w:t>
            </w:r>
          </w:p>
        </w:tc>
        <w:tc>
          <w:tcPr>
            <w:tcW w:w="328" w:type="pct"/>
            <w:noWrap w:val="0"/>
            <w:vAlign w:val="center"/>
          </w:tcPr>
          <w:p>
            <w:pPr>
              <w:tabs>
                <w:tab w:val="left" w:pos="2604"/>
              </w:tabs>
              <w:spacing w:line="220" w:lineRule="exact"/>
              <w:jc w:val="center"/>
              <w:rPr>
                <w:rFonts w:hint="eastAsia" w:ascii="仿宋" w:hAnsi="仿宋" w:eastAsia="仿宋" w:cs="仿宋"/>
                <w:szCs w:val="21"/>
              </w:rPr>
            </w:pPr>
            <w:r>
              <w:rPr>
                <w:rFonts w:hint="eastAsia" w:ascii="仿宋" w:hAnsi="仿宋" w:eastAsia="仿宋" w:cs="仿宋"/>
                <w:szCs w:val="21"/>
              </w:rPr>
              <w:t>1.5</w:t>
            </w:r>
          </w:p>
        </w:tc>
        <w:tc>
          <w:tcPr>
            <w:tcW w:w="1518" w:type="pct"/>
            <w:noWrap w:val="0"/>
            <w:tcMar>
              <w:top w:w="10" w:type="dxa"/>
              <w:left w:w="10" w:type="dxa"/>
              <w:bottom w:w="0" w:type="dxa"/>
              <w:right w:w="10" w:type="dxa"/>
            </w:tcMar>
            <w:vAlign w:val="center"/>
          </w:tcPr>
          <w:p>
            <w:pPr>
              <w:tabs>
                <w:tab w:val="left" w:pos="2604"/>
              </w:tabs>
              <w:spacing w:line="220" w:lineRule="exact"/>
              <w:rPr>
                <w:rFonts w:hint="eastAsia" w:ascii="仿宋" w:hAnsi="仿宋" w:eastAsia="仿宋" w:cs="仿宋"/>
                <w:szCs w:val="21"/>
              </w:rPr>
            </w:pPr>
            <w:r>
              <w:rPr>
                <w:rFonts w:hint="eastAsia" w:ascii="仿宋" w:hAnsi="仿宋" w:eastAsia="仿宋" w:cs="仿宋"/>
                <w:szCs w:val="21"/>
              </w:rPr>
              <w:t>部门本年度预算调整数与预算数的比率，用以反映和考核部门预算的调整程度。</w:t>
            </w:r>
          </w:p>
        </w:tc>
        <w:tc>
          <w:tcPr>
            <w:tcW w:w="2029" w:type="pct"/>
            <w:noWrap w:val="0"/>
            <w:tcMar>
              <w:top w:w="10" w:type="dxa"/>
              <w:left w:w="10" w:type="dxa"/>
              <w:bottom w:w="0" w:type="dxa"/>
              <w:right w:w="10" w:type="dxa"/>
            </w:tcMar>
            <w:vAlign w:val="center"/>
          </w:tcPr>
          <w:p>
            <w:pPr>
              <w:spacing w:line="220" w:lineRule="exact"/>
              <w:rPr>
                <w:rFonts w:hint="eastAsia" w:ascii="仿宋" w:hAnsi="仿宋" w:eastAsia="仿宋" w:cs="仿宋"/>
                <w:szCs w:val="21"/>
              </w:rPr>
            </w:pPr>
            <w:r>
              <w:rPr>
                <w:rFonts w:hint="eastAsia" w:ascii="仿宋" w:hAnsi="仿宋" w:eastAsia="仿宋" w:cs="仿宋"/>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eastAsia="方正仿宋_GBK"/>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20" w:lineRule="exact"/>
              <w:jc w:val="center"/>
              <w:rPr>
                <w:rFonts w:hint="eastAsia" w:ascii="仿宋" w:hAnsi="仿宋" w:eastAsia="仿宋" w:cs="仿宋"/>
                <w:szCs w:val="21"/>
              </w:rPr>
            </w:pPr>
            <w:r>
              <w:rPr>
                <w:rFonts w:hint="eastAsia" w:ascii="仿宋" w:hAnsi="仿宋" w:eastAsia="仿宋" w:cs="仿宋"/>
                <w:szCs w:val="21"/>
              </w:rPr>
              <w:t>支付进度率（2分）</w:t>
            </w:r>
          </w:p>
        </w:tc>
        <w:tc>
          <w:tcPr>
            <w:tcW w:w="328" w:type="pct"/>
            <w:noWrap w:val="0"/>
            <w:vAlign w:val="center"/>
          </w:tcPr>
          <w:p>
            <w:pPr>
              <w:tabs>
                <w:tab w:val="left" w:pos="2604"/>
              </w:tabs>
              <w:spacing w:line="220" w:lineRule="exact"/>
              <w:jc w:val="center"/>
              <w:rPr>
                <w:rFonts w:hint="eastAsia" w:ascii="仿宋" w:hAnsi="仿宋" w:eastAsia="仿宋" w:cs="仿宋"/>
                <w:szCs w:val="21"/>
              </w:rPr>
            </w:pPr>
            <w:r>
              <w:rPr>
                <w:rFonts w:hint="eastAsia" w:ascii="仿宋" w:hAnsi="仿宋" w:eastAsia="仿宋" w:cs="仿宋"/>
                <w:szCs w:val="21"/>
              </w:rPr>
              <w:t>1</w:t>
            </w:r>
          </w:p>
        </w:tc>
        <w:tc>
          <w:tcPr>
            <w:tcW w:w="1518" w:type="pct"/>
            <w:noWrap w:val="0"/>
            <w:tcMar>
              <w:top w:w="10" w:type="dxa"/>
              <w:left w:w="10" w:type="dxa"/>
              <w:bottom w:w="0" w:type="dxa"/>
              <w:right w:w="10" w:type="dxa"/>
            </w:tcMar>
            <w:vAlign w:val="center"/>
          </w:tcPr>
          <w:p>
            <w:pPr>
              <w:tabs>
                <w:tab w:val="left" w:pos="2604"/>
              </w:tabs>
              <w:spacing w:line="220" w:lineRule="exact"/>
              <w:rPr>
                <w:rFonts w:hint="eastAsia" w:ascii="仿宋" w:hAnsi="仿宋" w:eastAsia="仿宋" w:cs="仿宋"/>
                <w:szCs w:val="21"/>
              </w:rPr>
            </w:pPr>
            <w:r>
              <w:rPr>
                <w:rFonts w:hint="eastAsia" w:ascii="仿宋" w:hAnsi="仿宋" w:eastAsia="仿宋" w:cs="仿宋"/>
                <w:szCs w:val="21"/>
              </w:rPr>
              <w:t>部门实际支付进度与既定支付进度的比率，用以反映和考核部门预算执行的及时性和均衡性程度。</w:t>
            </w:r>
          </w:p>
        </w:tc>
        <w:tc>
          <w:tcPr>
            <w:tcW w:w="2029" w:type="pct"/>
            <w:noWrap w:val="0"/>
            <w:tcMar>
              <w:top w:w="10" w:type="dxa"/>
              <w:left w:w="10" w:type="dxa"/>
              <w:bottom w:w="0" w:type="dxa"/>
              <w:right w:w="10" w:type="dxa"/>
            </w:tcMar>
            <w:vAlign w:val="center"/>
          </w:tcPr>
          <w:p>
            <w:pPr>
              <w:spacing w:line="220" w:lineRule="exact"/>
              <w:rPr>
                <w:rFonts w:hint="eastAsia" w:ascii="仿宋" w:hAnsi="仿宋" w:eastAsia="仿宋" w:cs="仿宋"/>
                <w:szCs w:val="21"/>
              </w:rPr>
            </w:pPr>
            <w:r>
              <w:rPr>
                <w:rFonts w:hint="eastAsia" w:ascii="仿宋" w:hAnsi="仿宋" w:eastAsia="仿宋" w:cs="仿宋"/>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restart"/>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过程（30分）</w:t>
            </w:r>
          </w:p>
        </w:tc>
        <w:tc>
          <w:tcPr>
            <w:tcW w:w="338" w:type="pct"/>
            <w:vMerge w:val="continue"/>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结转结余控制率（4分）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4</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部门本年度结转结余总额与上年结转结余总额增减比例，用以反映和考核部门对存量资金的实际控制程度。</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公用经费</w:t>
            </w:r>
          </w:p>
          <w:p>
            <w:pPr>
              <w:spacing w:line="240" w:lineRule="exact"/>
              <w:jc w:val="center"/>
              <w:rPr>
                <w:rFonts w:hint="eastAsia" w:ascii="仿宋" w:hAnsi="仿宋" w:eastAsia="仿宋" w:cs="仿宋"/>
                <w:szCs w:val="21"/>
              </w:rPr>
            </w:pPr>
            <w:r>
              <w:rPr>
                <w:rFonts w:hint="eastAsia" w:ascii="仿宋" w:hAnsi="仿宋" w:eastAsia="仿宋" w:cs="仿宋"/>
                <w:szCs w:val="21"/>
              </w:rPr>
              <w:t>控制率（2分）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2</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部门本年度实际支出的公用经费总额与预算安排的公用经费总额的比率，用以反映和考核部门对机构运转成本的实际控制程度。</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szCs w:val="21"/>
              </w:rPr>
              <w:t>公用经费控制率=（实际支出公用经费总额/预算安排公用经费总额）×100%。为100%的计2分，每超过1个百分点扣0.1分，扣完为止。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“三公经费”控制率（2分）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0</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部门本年度“三公经费”实际支出数与预算安排数的比率，用以反映和考核部门对“三公经费”的实际控制程度。</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szCs w:val="21"/>
              </w:rPr>
              <w:t>“三公经费”控制率=（“三公经费”实际支出数/“三公经费”预算安排数）×100%。为100%的计2分，每超过1个百分点扣0.5分，扣完为止。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政府采购执行率（4分）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4</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部门本年度实际政府采购金额与年初政府采购预算的比率，用以反映和考核部门政府采购预算执行情况。</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restar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预算</w:t>
            </w:r>
          </w:p>
          <w:p>
            <w:pPr>
              <w:spacing w:line="240" w:lineRule="exact"/>
              <w:jc w:val="center"/>
              <w:rPr>
                <w:rFonts w:hint="eastAsia" w:ascii="仿宋" w:hAnsi="仿宋" w:eastAsia="仿宋" w:cs="仿宋"/>
                <w:szCs w:val="21"/>
              </w:rPr>
            </w:pPr>
            <w:r>
              <w:rPr>
                <w:rFonts w:hint="eastAsia" w:ascii="仿宋" w:hAnsi="仿宋" w:eastAsia="仿宋" w:cs="仿宋"/>
                <w:szCs w:val="21"/>
              </w:rPr>
              <w:t>管理</w:t>
            </w:r>
          </w:p>
          <w:p>
            <w:pPr>
              <w:spacing w:line="240" w:lineRule="exact"/>
              <w:jc w:val="center"/>
              <w:rPr>
                <w:rFonts w:hint="eastAsia" w:ascii="仿宋" w:hAnsi="仿宋" w:eastAsia="仿宋" w:cs="仿宋"/>
                <w:szCs w:val="21"/>
              </w:rPr>
            </w:pPr>
            <w:r>
              <w:rPr>
                <w:rFonts w:hint="eastAsia" w:ascii="仿宋" w:hAnsi="仿宋" w:eastAsia="仿宋" w:cs="仿宋"/>
                <w:szCs w:val="21"/>
              </w:rPr>
              <w:t>（5分）</w:t>
            </w: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管理制度健全性（2分）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2</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部门为加强预算管理、规范财务行为而制定的管理制度是否健全完整，用以反映和考核部门预算管理制度对完成主要职责或促进事业发展的保障情况。</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szCs w:val="21"/>
              </w:rPr>
              <w:t>已制定或具有预算资金管理办法、内部财务管理制度、会计核算制度等管理制度计1分；相关管理制度合法、合规、完整计0.5分；相关管理制度得到有效执行计0.5分。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资金使用合规性（1分）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1</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部门使用预算资金是否符合相关的预算财务管理制度的规定，用以反映和考核部门预算资金的规范运行情况。</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预决算信息公开性（1分）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1</w:t>
            </w:r>
          </w:p>
        </w:tc>
        <w:tc>
          <w:tcPr>
            <w:tcW w:w="1518" w:type="pct"/>
            <w:noWrap w:val="0"/>
            <w:tcMar>
              <w:top w:w="10" w:type="dxa"/>
              <w:left w:w="10" w:type="dxa"/>
              <w:bottom w:w="0" w:type="dxa"/>
              <w:right w:w="10" w:type="dxa"/>
            </w:tcMar>
            <w:vAlign w:val="center"/>
          </w:tcPr>
          <w:p>
            <w:pPr>
              <w:tabs>
                <w:tab w:val="left" w:pos="2604"/>
              </w:tabs>
              <w:spacing w:line="230" w:lineRule="exact"/>
              <w:rPr>
                <w:rFonts w:hint="eastAsia" w:ascii="仿宋" w:hAnsi="仿宋" w:eastAsia="仿宋" w:cs="仿宋"/>
                <w:szCs w:val="21"/>
              </w:rPr>
            </w:pPr>
            <w:r>
              <w:rPr>
                <w:rFonts w:hint="eastAsia" w:ascii="仿宋" w:hAnsi="仿宋" w:eastAsia="仿宋" w:cs="仿宋"/>
                <w:szCs w:val="21"/>
              </w:rPr>
              <w:t>部门是否按照政府信息公开有关规定公开相关预决算信息，用以反映和考核部门预决算管理的公开透明情况。</w:t>
            </w:r>
          </w:p>
        </w:tc>
        <w:tc>
          <w:tcPr>
            <w:tcW w:w="2029" w:type="pct"/>
            <w:noWrap w:val="0"/>
            <w:tcMar>
              <w:top w:w="10" w:type="dxa"/>
              <w:left w:w="10" w:type="dxa"/>
              <w:bottom w:w="0" w:type="dxa"/>
              <w:right w:w="10" w:type="dxa"/>
            </w:tcMar>
            <w:vAlign w:val="center"/>
          </w:tcPr>
          <w:p>
            <w:pPr>
              <w:spacing w:line="230" w:lineRule="exact"/>
              <w:rPr>
                <w:rFonts w:hint="eastAsia" w:ascii="仿宋" w:hAnsi="仿宋" w:eastAsia="仿宋" w:cs="仿宋"/>
                <w:szCs w:val="21"/>
              </w:rPr>
            </w:pPr>
            <w:r>
              <w:rPr>
                <w:rFonts w:hint="eastAsia" w:ascii="仿宋" w:hAnsi="仿宋" w:eastAsia="仿宋" w:cs="仿宋"/>
                <w:szCs w:val="21"/>
              </w:rPr>
              <w:t>①按规定内容公开预决算信息计0.5分；②按规定时限公开预决算信息计0.5分。预决算信息是指与部门预算、执行、决算、监督、绩效等管理相关的信息。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基础信息完善性（1分）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1</w:t>
            </w:r>
          </w:p>
        </w:tc>
        <w:tc>
          <w:tcPr>
            <w:tcW w:w="1518" w:type="pct"/>
            <w:noWrap w:val="0"/>
            <w:tcMar>
              <w:top w:w="10" w:type="dxa"/>
              <w:left w:w="10" w:type="dxa"/>
              <w:bottom w:w="0" w:type="dxa"/>
              <w:right w:w="10" w:type="dxa"/>
            </w:tcMar>
            <w:vAlign w:val="center"/>
          </w:tcPr>
          <w:p>
            <w:pPr>
              <w:tabs>
                <w:tab w:val="left" w:pos="2604"/>
              </w:tabs>
              <w:spacing w:line="230" w:lineRule="exact"/>
              <w:rPr>
                <w:rFonts w:hint="eastAsia" w:ascii="仿宋" w:hAnsi="仿宋" w:eastAsia="仿宋" w:cs="仿宋"/>
                <w:szCs w:val="21"/>
              </w:rPr>
            </w:pPr>
            <w:r>
              <w:rPr>
                <w:rFonts w:hint="eastAsia" w:ascii="仿宋" w:hAnsi="仿宋" w:eastAsia="仿宋" w:cs="仿宋"/>
                <w:szCs w:val="21"/>
              </w:rPr>
              <w:t>部门基础信息是否完善，用以反映和考核基础信息对预算管理工作的支撑情况。</w:t>
            </w:r>
          </w:p>
        </w:tc>
        <w:tc>
          <w:tcPr>
            <w:tcW w:w="2029" w:type="pct"/>
            <w:noWrap w:val="0"/>
            <w:tcMar>
              <w:top w:w="10" w:type="dxa"/>
              <w:left w:w="10" w:type="dxa"/>
              <w:bottom w:w="0" w:type="dxa"/>
              <w:right w:w="10" w:type="dxa"/>
            </w:tcMar>
            <w:vAlign w:val="center"/>
          </w:tcPr>
          <w:p>
            <w:pPr>
              <w:spacing w:line="230" w:lineRule="exact"/>
              <w:rPr>
                <w:rFonts w:hint="eastAsia" w:ascii="仿宋" w:hAnsi="仿宋" w:eastAsia="仿宋" w:cs="仿宋"/>
                <w:szCs w:val="21"/>
              </w:rPr>
            </w:pPr>
            <w:r>
              <w:rPr>
                <w:rFonts w:hint="eastAsia" w:ascii="仿宋" w:hAnsi="仿宋" w:eastAsia="仿宋" w:cs="仿宋"/>
                <w:szCs w:val="21"/>
              </w:rPr>
              <w:t>①基础数据信息和会计信息资料真实计0.4分；②基础数据信息和会计信息资料完整计0.3分；③基础数据信息和会计信息资料准确计0.3分。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szCs w:val="21"/>
              </w:rPr>
            </w:pPr>
          </w:p>
        </w:tc>
        <w:tc>
          <w:tcPr>
            <w:tcW w:w="338" w:type="pct"/>
            <w:vMerge w:val="restar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资产</w:t>
            </w:r>
            <w:r>
              <w:rPr>
                <w:rFonts w:hint="eastAsia" w:ascii="仿宋" w:hAnsi="仿宋" w:eastAsia="仿宋" w:cs="仿宋"/>
                <w:szCs w:val="21"/>
              </w:rPr>
              <w:br w:type="textWrapping"/>
            </w:r>
            <w:r>
              <w:rPr>
                <w:rFonts w:hint="eastAsia" w:ascii="仿宋" w:hAnsi="仿宋" w:eastAsia="仿宋" w:cs="仿宋"/>
                <w:szCs w:val="21"/>
              </w:rPr>
              <w:t>管理</w:t>
            </w:r>
          </w:p>
          <w:p>
            <w:pPr>
              <w:spacing w:line="240" w:lineRule="exact"/>
              <w:jc w:val="center"/>
              <w:rPr>
                <w:rFonts w:hint="eastAsia" w:ascii="仿宋" w:hAnsi="仿宋" w:eastAsia="仿宋" w:cs="仿宋"/>
                <w:szCs w:val="21"/>
              </w:rPr>
            </w:pPr>
            <w:r>
              <w:rPr>
                <w:rFonts w:hint="eastAsia" w:ascii="仿宋" w:hAnsi="仿宋" w:eastAsia="仿宋" w:cs="仿宋"/>
                <w:szCs w:val="21"/>
              </w:rPr>
              <w:t>（5分）</w:t>
            </w: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管理制度健全性（2分）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2</w:t>
            </w:r>
          </w:p>
        </w:tc>
        <w:tc>
          <w:tcPr>
            <w:tcW w:w="1518" w:type="pct"/>
            <w:noWrap w:val="0"/>
            <w:tcMar>
              <w:top w:w="10" w:type="dxa"/>
              <w:left w:w="10" w:type="dxa"/>
              <w:bottom w:w="0" w:type="dxa"/>
              <w:right w:w="10" w:type="dxa"/>
            </w:tcMar>
            <w:vAlign w:val="center"/>
          </w:tcPr>
          <w:p>
            <w:pPr>
              <w:tabs>
                <w:tab w:val="left" w:pos="2604"/>
              </w:tabs>
              <w:spacing w:line="230" w:lineRule="exact"/>
              <w:rPr>
                <w:rFonts w:hint="eastAsia" w:ascii="仿宋" w:hAnsi="仿宋" w:eastAsia="仿宋" w:cs="仿宋"/>
                <w:szCs w:val="21"/>
              </w:rPr>
            </w:pPr>
            <w:r>
              <w:rPr>
                <w:rFonts w:hint="eastAsia" w:ascii="仿宋" w:hAnsi="仿宋" w:eastAsia="仿宋" w:cs="仿宋"/>
                <w:szCs w:val="21"/>
              </w:rPr>
              <w:t>部门为加强资产管理、规范资产管理行为而制定的管理制度是否健全完整，用以反映和考核部门资产管理制度对完成主要职责或促进社会发展的保障情况。</w:t>
            </w:r>
          </w:p>
        </w:tc>
        <w:tc>
          <w:tcPr>
            <w:tcW w:w="2029" w:type="pct"/>
            <w:noWrap w:val="0"/>
            <w:tcMar>
              <w:top w:w="10" w:type="dxa"/>
              <w:left w:w="10" w:type="dxa"/>
              <w:bottom w:w="0" w:type="dxa"/>
              <w:right w:w="10" w:type="dxa"/>
            </w:tcMar>
            <w:vAlign w:val="center"/>
          </w:tcPr>
          <w:p>
            <w:pPr>
              <w:spacing w:line="230" w:lineRule="exact"/>
              <w:rPr>
                <w:rFonts w:hint="eastAsia" w:ascii="仿宋" w:hAnsi="仿宋" w:eastAsia="仿宋" w:cs="仿宋"/>
                <w:szCs w:val="21"/>
              </w:rPr>
            </w:pPr>
            <w:r>
              <w:rPr>
                <w:rFonts w:hint="eastAsia" w:ascii="仿宋" w:hAnsi="仿宋" w:eastAsia="仿宋" w:cs="仿宋"/>
                <w:szCs w:val="21"/>
              </w:rPr>
              <w:t>①制定或具有资产管理制度计1分；②相关资金管理制度合法、合规、完整计0.5分；③相关资产管理制度得到有效执行计0.5分。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资产管理安全性（2分）</w:t>
            </w:r>
          </w:p>
        </w:tc>
        <w:tc>
          <w:tcPr>
            <w:tcW w:w="328" w:type="pct"/>
            <w:noWrap w:val="0"/>
            <w:vAlign w:val="center"/>
          </w:tcPr>
          <w:p>
            <w:pPr>
              <w:tabs>
                <w:tab w:val="left" w:pos="761"/>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2</w:t>
            </w:r>
          </w:p>
        </w:tc>
        <w:tc>
          <w:tcPr>
            <w:tcW w:w="1518" w:type="pct"/>
            <w:noWrap w:val="0"/>
            <w:tcMar>
              <w:top w:w="10" w:type="dxa"/>
              <w:left w:w="10" w:type="dxa"/>
              <w:bottom w:w="0" w:type="dxa"/>
              <w:right w:w="10" w:type="dxa"/>
            </w:tcMar>
            <w:vAlign w:val="center"/>
          </w:tcPr>
          <w:p>
            <w:pPr>
              <w:tabs>
                <w:tab w:val="left" w:pos="761"/>
                <w:tab w:val="left" w:pos="2604"/>
              </w:tabs>
              <w:spacing w:line="230" w:lineRule="exact"/>
              <w:rPr>
                <w:rFonts w:hint="eastAsia" w:ascii="仿宋" w:hAnsi="仿宋" w:eastAsia="仿宋" w:cs="仿宋"/>
                <w:szCs w:val="21"/>
              </w:rPr>
            </w:pPr>
            <w:r>
              <w:rPr>
                <w:rFonts w:hint="eastAsia" w:ascii="仿宋" w:hAnsi="仿宋" w:eastAsia="仿宋" w:cs="仿宋"/>
                <w:szCs w:val="21"/>
              </w:rPr>
              <w:t>部门的资产是否保存完整、使用合规、配置合理、处置规范、收入及时足额上缴，用以反映和考核部门资产安全运行情况。</w:t>
            </w:r>
          </w:p>
        </w:tc>
        <w:tc>
          <w:tcPr>
            <w:tcW w:w="2029" w:type="pct"/>
            <w:noWrap w:val="0"/>
            <w:tcMar>
              <w:top w:w="10" w:type="dxa"/>
              <w:left w:w="10" w:type="dxa"/>
              <w:bottom w:w="0" w:type="dxa"/>
              <w:right w:w="10" w:type="dxa"/>
            </w:tcMar>
            <w:vAlign w:val="center"/>
          </w:tcPr>
          <w:p>
            <w:pPr>
              <w:spacing w:line="230" w:lineRule="exact"/>
              <w:rPr>
                <w:rFonts w:hint="eastAsia" w:ascii="仿宋" w:hAnsi="仿宋" w:eastAsia="仿宋" w:cs="仿宋"/>
                <w:szCs w:val="21"/>
              </w:rPr>
            </w:pPr>
            <w:r>
              <w:rPr>
                <w:rFonts w:hint="eastAsia" w:ascii="仿宋" w:hAnsi="仿宋" w:eastAsia="仿宋" w:cs="仿宋"/>
                <w:szCs w:val="21"/>
              </w:rPr>
              <w:t>①资产保存完整计0.4分；②资产配置合理计0.4分；③资产处置规范计0.4分；④资产账务管理合规、帐实相符计0.4分；⑤资产有偿使用及处置收入及时足额上缴计0.4分。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noWrap w:val="0"/>
            <w:vAlign w:val="center"/>
          </w:tcPr>
          <w:p>
            <w:pPr>
              <w:spacing w:line="240" w:lineRule="exact"/>
              <w:rPr>
                <w:rFonts w:hint="eastAsia" w:ascii="仿宋" w:hAnsi="仿宋" w:eastAsia="仿宋" w:cs="仿宋"/>
                <w:szCs w:val="21"/>
              </w:rPr>
            </w:pPr>
            <w:r>
              <w:rPr>
                <w:rFonts w:hint="eastAsia" w:ascii="仿宋" w:hAnsi="仿宋" w:eastAsia="仿宋" w:cs="仿宋"/>
                <w:szCs w:val="21"/>
              </w:rPr>
              <w:t>过程（30分）</w:t>
            </w: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固定资产利用率（1分）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1</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部门实际在用固定资产总额与所有固定资产总额的比率，用以反映和考核部门固定资产使用效率程度。</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szCs w:val="21"/>
              </w:rPr>
              <w:t>固定资产利用率=（实际在用固定资产总额/所有固定资产总额）×100%。利用率为100%的计1分，每降1个百分点扣0.1分，扣完为止。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restart"/>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产   出（30分）</w:t>
            </w:r>
          </w:p>
        </w:tc>
        <w:tc>
          <w:tcPr>
            <w:tcW w:w="338" w:type="pct"/>
            <w:vMerge w:val="restar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职责</w:t>
            </w:r>
            <w:r>
              <w:rPr>
                <w:rFonts w:hint="eastAsia" w:ascii="仿宋" w:hAnsi="仿宋" w:eastAsia="仿宋" w:cs="仿宋"/>
                <w:szCs w:val="21"/>
              </w:rPr>
              <w:br w:type="textWrapping"/>
            </w:r>
            <w:r>
              <w:rPr>
                <w:rFonts w:hint="eastAsia" w:ascii="仿宋" w:hAnsi="仿宋" w:eastAsia="仿宋" w:cs="仿宋"/>
                <w:szCs w:val="21"/>
              </w:rPr>
              <w:t>履行</w:t>
            </w: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实际完成率（8分）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8</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部门履行职责而实际完成工作数与计划工作数的比率，用以反映和考核部门履职工作任务目标的实现程度。</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szCs w:val="21"/>
              </w:rPr>
              <w:t>实际完成率得分=完成市委市政府绩效考核得分或上级主管部门考核指标得分/指标分值*8分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完成及时率（4分）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4</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部门在规定时限内及时完成的实际工作数与计划工作数的比率,用以反映和考核部门履职时效目标的实现程度。</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szCs w:val="21"/>
              </w:rPr>
              <w:t>完成及时率=（及时完成实际工作数/计划工作数）×100%。1-4季度各得1分</w:t>
            </w:r>
            <w:r>
              <w:rPr>
                <w:rFonts w:hint="eastAsia" w:ascii="仿宋" w:hAnsi="仿宋" w:eastAsia="仿宋" w:cs="仿宋"/>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质量达标率（8分）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8</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达到质量标准（绩效标准值）的实际工作数与计划工作数的比率,用以反映和考核部门履职质量目标的实现程度。</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szCs w:val="21"/>
              </w:rPr>
              <w:t>质量达标率=（质量达标实际工作数/计划工作数）×100%。实际得分=达标率*8分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重点工作办结率（10分）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10</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部门年度重点工作实际完成数与交办或下达数的比率，用以反映部门对重点工作的办理落实程度。</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szCs w:val="21"/>
              </w:rPr>
              <w:t>重点工作办结率=（重点工作实际完成数/交办或下达数）×100%。实际得分=办结率*10分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restart"/>
            <w:noWrap/>
            <w:tcMar>
              <w:top w:w="10" w:type="dxa"/>
              <w:left w:w="10" w:type="dxa"/>
              <w:bottom w:w="0" w:type="dxa"/>
              <w:right w:w="10" w:type="dxa"/>
            </w:tcMar>
            <w:textDirection w:val="tbRlV"/>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效   果（20分）</w:t>
            </w:r>
          </w:p>
        </w:tc>
        <w:tc>
          <w:tcPr>
            <w:tcW w:w="338" w:type="pct"/>
            <w:vMerge w:val="restar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履职</w:t>
            </w:r>
            <w:r>
              <w:rPr>
                <w:rFonts w:hint="eastAsia" w:ascii="仿宋" w:hAnsi="仿宋" w:eastAsia="仿宋" w:cs="仿宋"/>
                <w:szCs w:val="21"/>
              </w:rPr>
              <w:br w:type="textWrapping"/>
            </w:r>
            <w:r>
              <w:rPr>
                <w:rFonts w:hint="eastAsia" w:ascii="仿宋" w:hAnsi="仿宋" w:eastAsia="仿宋" w:cs="仿宋"/>
                <w:szCs w:val="21"/>
              </w:rPr>
              <w:t>效益（20分）</w:t>
            </w: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经济效益（5分）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5</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部门履行职责对经济发展所带来的直接或间接影响。</w:t>
            </w:r>
          </w:p>
        </w:tc>
        <w:tc>
          <w:tcPr>
            <w:tcW w:w="2029" w:type="pct"/>
            <w:vMerge w:val="restar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kern w:val="0"/>
                <w:szCs w:val="21"/>
              </w:rPr>
              <w:t>按经济效益实现程度计算得分（5分）；按社会效益实现程度计算得分（5分）；按生态效益实现程度计算得分（5分）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社会效益（5分）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5</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部门履行职责对社会发展所带来的直接或间接影响。</w:t>
            </w:r>
          </w:p>
        </w:tc>
        <w:tc>
          <w:tcPr>
            <w:tcW w:w="2029" w:type="pct"/>
            <w:vMerge w:val="continue"/>
            <w:noWrap w:val="0"/>
            <w:vAlign w:val="center"/>
          </w:tcPr>
          <w:p>
            <w:pPr>
              <w:spacing w:line="2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生态效益（5分）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5</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部门履行职责对生态环境所带来的直接或间接影响。</w:t>
            </w:r>
          </w:p>
        </w:tc>
        <w:tc>
          <w:tcPr>
            <w:tcW w:w="2029" w:type="pct"/>
            <w:vMerge w:val="continue"/>
            <w:noWrap w:val="0"/>
            <w:vAlign w:val="center"/>
          </w:tcPr>
          <w:p>
            <w:pPr>
              <w:spacing w:line="24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520" w:hRule="atLeast"/>
          <w:jc w:val="center"/>
        </w:trPr>
        <w:tc>
          <w:tcPr>
            <w:tcW w:w="355" w:type="pct"/>
            <w:vMerge w:val="continue"/>
            <w:noWrap w:val="0"/>
            <w:vAlign w:val="center"/>
          </w:tcPr>
          <w:p>
            <w:pPr>
              <w:spacing w:line="240" w:lineRule="exact"/>
              <w:jc w:val="center"/>
              <w:rPr>
                <w:rFonts w:hint="eastAsia" w:ascii="仿宋" w:hAnsi="仿宋" w:eastAsia="仿宋" w:cs="仿宋"/>
                <w:szCs w:val="21"/>
              </w:rPr>
            </w:pPr>
          </w:p>
        </w:tc>
        <w:tc>
          <w:tcPr>
            <w:tcW w:w="338" w:type="pct"/>
            <w:vMerge w:val="continue"/>
            <w:noWrap w:val="0"/>
            <w:vAlign w:val="center"/>
          </w:tcPr>
          <w:p>
            <w:pPr>
              <w:spacing w:line="240" w:lineRule="exact"/>
              <w:jc w:val="center"/>
              <w:rPr>
                <w:rFonts w:hint="eastAsia" w:ascii="仿宋" w:hAnsi="仿宋" w:eastAsia="仿宋" w:cs="仿宋"/>
                <w:szCs w:val="21"/>
              </w:rPr>
            </w:pPr>
          </w:p>
        </w:tc>
        <w:tc>
          <w:tcPr>
            <w:tcW w:w="432" w:type="pct"/>
            <w:noWrap w:val="0"/>
            <w:tcMar>
              <w:top w:w="10" w:type="dxa"/>
              <w:left w:w="10" w:type="dxa"/>
              <w:bottom w:w="0" w:type="dxa"/>
              <w:right w:w="10"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社会公众或服务对象满意度（5分）</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szCs w:val="21"/>
              </w:rPr>
              <w:t>5</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r>
              <w:rPr>
                <w:rFonts w:hint="eastAsia" w:ascii="仿宋" w:hAnsi="仿宋" w:eastAsia="仿宋" w:cs="仿宋"/>
                <w:szCs w:val="21"/>
              </w:rPr>
              <w:t>社会公众或部门的服务对象对部门履职效果的满意程度。</w:t>
            </w: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szCs w:val="21"/>
              </w:rPr>
            </w:pPr>
            <w:r>
              <w:rPr>
                <w:rFonts w:hint="eastAsia" w:ascii="仿宋" w:hAnsi="仿宋" w:eastAsia="仿宋" w:cs="仿宋"/>
                <w:kern w:val="0"/>
                <w:szCs w:val="21"/>
              </w:rPr>
              <w:t>按收集到的服务对象的满意率计算得分（5分）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67" w:hRule="atLeast"/>
          <w:jc w:val="center"/>
        </w:trPr>
        <w:tc>
          <w:tcPr>
            <w:tcW w:w="1125" w:type="pct"/>
            <w:gridSpan w:val="3"/>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合   计</w:t>
            </w:r>
          </w:p>
        </w:tc>
        <w:tc>
          <w:tcPr>
            <w:tcW w:w="328" w:type="pct"/>
            <w:noWrap w:val="0"/>
            <w:vAlign w:val="center"/>
          </w:tcPr>
          <w:p>
            <w:pPr>
              <w:tabs>
                <w:tab w:val="left" w:pos="2604"/>
              </w:tabs>
              <w:spacing w:line="240" w:lineRule="exact"/>
              <w:jc w:val="center"/>
              <w:rPr>
                <w:rFonts w:hint="eastAsia" w:ascii="仿宋" w:hAnsi="仿宋" w:eastAsia="仿宋" w:cs="仿宋"/>
                <w:szCs w:val="21"/>
              </w:rPr>
            </w:pPr>
            <w:r>
              <w:rPr>
                <w:rFonts w:hint="eastAsia" w:ascii="仿宋" w:hAnsi="仿宋" w:eastAsia="仿宋" w:cs="仿宋"/>
                <w:b/>
                <w:bCs/>
                <w:sz w:val="18"/>
                <w:szCs w:val="18"/>
              </w:rPr>
              <w:t>94</w:t>
            </w:r>
            <w:r>
              <w:rPr>
                <w:rFonts w:hint="eastAsia" w:ascii="仿宋" w:hAnsi="仿宋" w:eastAsia="仿宋" w:cs="仿宋"/>
                <w:b/>
                <w:bCs/>
                <w:sz w:val="18"/>
                <w:szCs w:val="18"/>
                <w:lang w:val="en-US" w:eastAsia="zh-CN"/>
              </w:rPr>
              <w:t>.</w:t>
            </w:r>
            <w:r>
              <w:rPr>
                <w:rFonts w:hint="eastAsia" w:ascii="仿宋" w:hAnsi="仿宋" w:eastAsia="仿宋" w:cs="仿宋"/>
                <w:b/>
                <w:bCs/>
                <w:sz w:val="18"/>
                <w:szCs w:val="18"/>
              </w:rPr>
              <w:t>5</w:t>
            </w:r>
          </w:p>
        </w:tc>
        <w:tc>
          <w:tcPr>
            <w:tcW w:w="1518" w:type="pct"/>
            <w:noWrap w:val="0"/>
            <w:tcMar>
              <w:top w:w="10" w:type="dxa"/>
              <w:left w:w="10" w:type="dxa"/>
              <w:bottom w:w="0" w:type="dxa"/>
              <w:right w:w="10" w:type="dxa"/>
            </w:tcMar>
            <w:vAlign w:val="center"/>
          </w:tcPr>
          <w:p>
            <w:pPr>
              <w:tabs>
                <w:tab w:val="left" w:pos="2604"/>
              </w:tabs>
              <w:spacing w:line="240" w:lineRule="exact"/>
              <w:rPr>
                <w:rFonts w:hint="eastAsia" w:ascii="仿宋" w:hAnsi="仿宋" w:eastAsia="仿宋" w:cs="仿宋"/>
                <w:szCs w:val="21"/>
              </w:rPr>
            </w:pPr>
          </w:p>
        </w:tc>
        <w:tc>
          <w:tcPr>
            <w:tcW w:w="2029" w:type="pct"/>
            <w:noWrap w:val="0"/>
            <w:tcMar>
              <w:top w:w="10" w:type="dxa"/>
              <w:left w:w="10" w:type="dxa"/>
              <w:bottom w:w="0" w:type="dxa"/>
              <w:right w:w="10" w:type="dxa"/>
            </w:tcMar>
            <w:vAlign w:val="center"/>
          </w:tcPr>
          <w:p>
            <w:pPr>
              <w:spacing w:line="240" w:lineRule="exact"/>
              <w:rPr>
                <w:rFonts w:hint="eastAsia" w:ascii="仿宋" w:hAnsi="仿宋" w:eastAsia="仿宋" w:cs="仿宋"/>
                <w:kern w:val="0"/>
                <w:szCs w:val="21"/>
              </w:rPr>
            </w:pPr>
          </w:p>
        </w:tc>
      </w:tr>
    </w:tbl>
    <w:p>
      <w:pPr>
        <w:spacing w:line="600" w:lineRule="exact"/>
        <w:rPr>
          <w:rFonts w:hint="eastAsia" w:ascii="黑体" w:eastAsia="黑体"/>
          <w:szCs w:val="32"/>
        </w:rPr>
      </w:pPr>
      <w:r>
        <w:rPr>
          <w:rFonts w:hint="eastAsia" w:ascii="黑体" w:eastAsia="黑体"/>
          <w:szCs w:val="32"/>
        </w:rPr>
        <w:t xml:space="preserve">     </w:t>
      </w:r>
    </w:p>
    <w:p/>
    <w:sectPr>
      <w:headerReference r:id="rId3" w:type="default"/>
      <w:footerReference r:id="rId4" w:type="default"/>
      <w:pgSz w:w="11906" w:h="16838"/>
      <w:pgMar w:top="2098" w:right="1531" w:bottom="1928" w:left="1531"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049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490" cy="262890"/>
                      </a:xfrm>
                      <a:prstGeom prst="rect">
                        <a:avLst/>
                      </a:prstGeom>
                      <a:noFill/>
                      <a:ln>
                        <a:noFill/>
                      </a:ln>
                    </wps:spPr>
                    <wps:txbx>
                      <w:txbxContent>
                        <w:p>
                          <w:pPr>
                            <w:snapToGrid w:val="0"/>
                            <w:rPr>
                              <w:sz w:val="24"/>
                            </w:rP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8.7pt;mso-position-horizontal:center;mso-position-horizontal-relative:margin;mso-wrap-style:none;z-index:251658240;mso-width-relative:page;mso-height-relative:page;" filled="f" stroked="f" coordsize="21600,21600" o:gfxdata="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TYZf9EAAAAD&#10;AQAADwAAAAAAAAABACAAAAAiAAAAZHJzL2Rvd25yZXYueG1sUEsBAhQAFAAAAAgAh07iQM1Fy8Ox&#10;AQAASQMAAA4AAAAAAAAAAQAgAAAAIAEAAGRycy9lMm9Eb2MueG1sUEsFBgAAAAAGAAYAWQEAAEMF&#10;AAAAAA==&#10;">
              <v:path/>
              <v:fill on="f" focussize="0,0"/>
              <v:stroke on="f"/>
              <v:imagedata o:title=""/>
              <o:lock v:ext="edit" aspectratio="f"/>
              <v:textbox inset="0mm,0mm,0mm,0mm" style="mso-fit-shape-to-text:t;">
                <w:txbxContent>
                  <w:p>
                    <w:pPr>
                      <w:snapToGrid w:val="0"/>
                      <w:rPr>
                        <w:sz w:val="24"/>
                      </w:rP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549F9"/>
    <w:rsid w:val="2BF5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2020-04-29T08:05:00Z</dcterms:created>
  <dc:creator>Volar</dc:creator>
  <cp:lastModifiedBy>Volar</cp:lastModifiedBy>
  <dcterms:modified xsi:type="dcterms:W3CDTF">2020-04-29T08:05:36Z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