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exact"/>
        <w:jc w:val="left"/>
        <w:rPr>
          <w:rFonts w:ascii="黑体" w:eastAsia="黑体"/>
          <w:kern w:val="0"/>
          <w:sz w:val="44"/>
          <w:szCs w:val="44"/>
        </w:rPr>
      </w:pPr>
      <w:bookmarkStart w:id="0" w:name="_GoBack"/>
      <w:bookmarkEnd w:id="0"/>
    </w:p>
    <w:p>
      <w:pPr>
        <w:spacing w:line="520" w:lineRule="exact"/>
        <w:jc w:val="center"/>
        <w:rPr>
          <w:rFonts w:ascii="仿宋" w:hAnsi="仿宋" w:eastAsia="仿宋"/>
          <w:sz w:val="32"/>
          <w:szCs w:val="32"/>
        </w:rPr>
      </w:pPr>
      <w:r>
        <w:rPr>
          <w:rFonts w:hint="eastAsia" w:ascii="仿宋" w:hAnsi="仿宋" w:eastAsia="仿宋" w:cs="仿宋"/>
          <w:sz w:val="32"/>
          <w:szCs w:val="32"/>
        </w:rPr>
        <w:t>益发改行审〔</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324</w:t>
      </w:r>
      <w:r>
        <w:rPr>
          <w:rFonts w:hint="eastAsia" w:ascii="仿宋" w:hAnsi="仿宋" w:eastAsia="仿宋" w:cs="仿宋"/>
          <w:sz w:val="32"/>
          <w:szCs w:val="32"/>
        </w:rPr>
        <w:t>号</w:t>
      </w:r>
    </w:p>
    <w:p>
      <w:pPr>
        <w:spacing w:line="520" w:lineRule="exact"/>
        <w:jc w:val="center"/>
        <w:rPr>
          <w:rFonts w:ascii="仿宋" w:hAnsi="仿宋" w:eastAsia="仿宋"/>
          <w:sz w:val="32"/>
          <w:szCs w:val="32"/>
        </w:rPr>
      </w:pPr>
    </w:p>
    <w:p>
      <w:pPr>
        <w:spacing w:line="52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益阳市发展和改革委员会</w:t>
      </w:r>
    </w:p>
    <w:p>
      <w:pPr>
        <w:spacing w:line="52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关于核准湖南源通环保科技有限公司废有机废溶剂综合利用工程的批复</w:t>
      </w:r>
    </w:p>
    <w:p>
      <w:pPr>
        <w:spacing w:line="520" w:lineRule="exact"/>
        <w:ind w:firstLine="640" w:firstLineChars="200"/>
        <w:rPr>
          <w:rFonts w:ascii="仿宋_GB2312" w:eastAsia="仿宋_GB2312"/>
          <w:sz w:val="32"/>
          <w:szCs w:val="32"/>
        </w:rPr>
      </w:pPr>
    </w:p>
    <w:p>
      <w:pPr>
        <w:spacing w:line="540" w:lineRule="exact"/>
        <w:rPr>
          <w:rFonts w:ascii="仿宋" w:hAnsi="仿宋" w:eastAsia="仿宋" w:cs="仿宋"/>
          <w:sz w:val="32"/>
          <w:szCs w:val="32"/>
        </w:rPr>
      </w:pPr>
      <w:r>
        <w:rPr>
          <w:rFonts w:hint="eastAsia" w:ascii="仿宋" w:hAnsi="仿宋" w:eastAsia="仿宋" w:cs="仿宋"/>
          <w:sz w:val="32"/>
          <w:szCs w:val="32"/>
        </w:rPr>
        <w:t>湖南源通环保科技有限公司：</w:t>
      </w:r>
      <w:r>
        <w:rPr>
          <w:rFonts w:ascii="仿宋" w:hAnsi="仿宋" w:eastAsia="仿宋" w:cs="仿宋"/>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你司《关于湖南源通环保科技有限公司废有机废溶剂综合利用工程申请核准的请示》及有关资料收悉。经研究，原则同意建设湖南源通环保科技有限公司废有机废溶剂综合利用工程，现就该项目核准事项批复如下：</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一、项目名称：湖南源通环保科技有限公司废有机废溶剂综合利用工程。</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二、建设单位：湖南源通环保科技有限公司。</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三、建设地点：益阳市长春经开区关濑路以南、文昌路以西的厂房。</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四、主要建设内容及规模：项目总用地面积</w:t>
      </w:r>
      <w:r>
        <w:rPr>
          <w:rFonts w:ascii="仿宋" w:hAnsi="仿宋" w:eastAsia="仿宋" w:cs="仿宋"/>
          <w:sz w:val="32"/>
          <w:szCs w:val="32"/>
        </w:rPr>
        <w:t>6300</w:t>
      </w:r>
      <w:r>
        <w:rPr>
          <w:rFonts w:hint="eastAsia" w:ascii="仿宋" w:hAnsi="仿宋" w:eastAsia="仿宋" w:cs="仿宋"/>
          <w:sz w:val="32"/>
          <w:szCs w:val="32"/>
        </w:rPr>
        <w:t>平方米，租用园区标准化厂房</w:t>
      </w:r>
      <w:r>
        <w:rPr>
          <w:rFonts w:ascii="仿宋" w:hAnsi="仿宋" w:eastAsia="仿宋" w:cs="仿宋"/>
          <w:sz w:val="32"/>
          <w:szCs w:val="32"/>
        </w:rPr>
        <w:t>4585</w:t>
      </w:r>
      <w:r>
        <w:rPr>
          <w:rFonts w:hint="eastAsia" w:ascii="仿宋" w:hAnsi="仿宋" w:eastAsia="仿宋" w:cs="仿宋"/>
          <w:sz w:val="32"/>
          <w:szCs w:val="32"/>
        </w:rPr>
        <w:t>平方米进行生产。项目由主体工程、辅助工程、环保工程、公用工程等构成。主体工程包括进料池、负压车间、灌装区，辅助工程包括办公楼、更衣室、原料存放区、产品存放区、锅炉房，环保工程包括废气处理设备、废水处理设备、固体废料处理设备及噪声治理设备，公共工程包括水电热等基础设施。建设一条年综合利用</w:t>
      </w:r>
      <w:r>
        <w:rPr>
          <w:rFonts w:ascii="仿宋" w:hAnsi="仿宋" w:eastAsia="仿宋" w:cs="仿宋"/>
          <w:sz w:val="32"/>
          <w:szCs w:val="32"/>
        </w:rPr>
        <w:t>5000</w:t>
      </w:r>
      <w:r>
        <w:rPr>
          <w:rFonts w:hint="eastAsia" w:ascii="仿宋" w:hAnsi="仿宋" w:eastAsia="仿宋" w:cs="仿宋"/>
          <w:sz w:val="32"/>
          <w:szCs w:val="32"/>
        </w:rPr>
        <w:t>吨废有机溶剂（</w:t>
      </w:r>
      <w:r>
        <w:rPr>
          <w:rFonts w:ascii="仿宋" w:hAnsi="仿宋" w:eastAsia="仿宋" w:cs="仿宋"/>
          <w:sz w:val="32"/>
          <w:szCs w:val="32"/>
        </w:rPr>
        <w:t>HW06</w:t>
      </w:r>
      <w:r>
        <w:rPr>
          <w:rFonts w:hint="eastAsia" w:ascii="仿宋" w:hAnsi="仿宋" w:eastAsia="仿宋" w:cs="仿宋"/>
          <w:sz w:val="32"/>
          <w:szCs w:val="32"/>
        </w:rPr>
        <w:t>、</w:t>
      </w:r>
      <w:r>
        <w:rPr>
          <w:rFonts w:ascii="仿宋" w:hAnsi="仿宋" w:eastAsia="仿宋" w:cs="仿宋"/>
          <w:sz w:val="32"/>
          <w:szCs w:val="32"/>
        </w:rPr>
        <w:t>HW12</w:t>
      </w:r>
      <w:r>
        <w:rPr>
          <w:rFonts w:hint="eastAsia" w:ascii="仿宋" w:hAnsi="仿宋" w:eastAsia="仿宋" w:cs="仿宋"/>
          <w:sz w:val="32"/>
          <w:szCs w:val="32"/>
        </w:rPr>
        <w:t>不含卤代物）回收利用的生产线。</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五、总投资及资金筹措：项目总投资</w:t>
      </w:r>
      <w:r>
        <w:rPr>
          <w:rFonts w:ascii="仿宋" w:hAnsi="仿宋" w:eastAsia="仿宋" w:cs="仿宋"/>
          <w:sz w:val="32"/>
          <w:szCs w:val="32"/>
        </w:rPr>
        <w:t>4800</w:t>
      </w:r>
      <w:r>
        <w:rPr>
          <w:rFonts w:hint="eastAsia" w:ascii="仿宋" w:hAnsi="仿宋" w:eastAsia="仿宋" w:cs="仿宋"/>
          <w:sz w:val="32"/>
          <w:szCs w:val="32"/>
        </w:rPr>
        <w:t>万元，</w:t>
      </w:r>
      <w:r>
        <w:rPr>
          <w:rFonts w:hint="eastAsia" w:ascii="仿宋_GB2312" w:eastAsia="仿宋_GB2312" w:cs="仿宋_GB2312"/>
          <w:sz w:val="32"/>
          <w:szCs w:val="32"/>
        </w:rPr>
        <w:t>资金来源为企业自筹</w:t>
      </w:r>
      <w:r>
        <w:rPr>
          <w:rFonts w:hint="eastAsia" w:ascii="仿宋" w:hAnsi="仿宋" w:eastAsia="仿宋" w:cs="仿宋"/>
          <w:sz w:val="32"/>
          <w:szCs w:val="32"/>
        </w:rPr>
        <w:t>。</w:t>
      </w:r>
    </w:p>
    <w:p>
      <w:pPr>
        <w:spacing w:line="540" w:lineRule="exact"/>
        <w:ind w:firstLine="624" w:firstLineChars="200"/>
        <w:rPr>
          <w:rFonts w:ascii="仿宋" w:hAnsi="仿宋" w:eastAsia="仿宋"/>
          <w:sz w:val="32"/>
          <w:szCs w:val="32"/>
        </w:rPr>
      </w:pPr>
      <w:r>
        <w:rPr>
          <w:rFonts w:hint="eastAsia" w:ascii="仿宋" w:hAnsi="仿宋" w:eastAsia="仿宋" w:cs="仿宋"/>
          <w:spacing w:val="-4"/>
          <w:sz w:val="32"/>
          <w:szCs w:val="32"/>
        </w:rPr>
        <w:t>六、</w:t>
      </w:r>
      <w:r>
        <w:rPr>
          <w:rFonts w:hint="eastAsia" w:ascii="仿宋" w:hAnsi="仿宋" w:eastAsia="仿宋" w:cs="仿宋"/>
          <w:sz w:val="32"/>
          <w:szCs w:val="32"/>
        </w:rPr>
        <w:t>该项目的勘察、设计、施工、监理及重要设备、材料购置与安装等达到必须招投标标准和规模的，依据《中华人民共和国招投标法》实行公开招标，并委托具有相关资质的招标代理机构办理招标事宜，不得化整为零规避招标。</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七、按照核准要求，该公司跟湖南民之源有限公司签订《厂房租赁合同》，湖南民之源有限公司于</w:t>
      </w:r>
      <w:r>
        <w:rPr>
          <w:rFonts w:ascii="仿宋" w:hAnsi="仿宋" w:eastAsia="仿宋" w:cs="仿宋"/>
          <w:sz w:val="32"/>
          <w:szCs w:val="32"/>
        </w:rPr>
        <w:t>2014</w:t>
      </w:r>
      <w:r>
        <w:rPr>
          <w:rFonts w:hint="eastAsia" w:ascii="仿宋" w:hAnsi="仿宋" w:eastAsia="仿宋" w:cs="仿宋"/>
          <w:sz w:val="32"/>
          <w:szCs w:val="32"/>
        </w:rPr>
        <w:t>年取得了该宗用地出让使用权，土地证号：益国用〔</w:t>
      </w:r>
      <w:r>
        <w:rPr>
          <w:rFonts w:ascii="仿宋" w:hAnsi="仿宋" w:eastAsia="仿宋" w:cs="仿宋"/>
          <w:sz w:val="32"/>
          <w:szCs w:val="32"/>
        </w:rPr>
        <w:t>2014</w:t>
      </w:r>
      <w:r>
        <w:rPr>
          <w:rFonts w:hint="eastAsia" w:ascii="仿宋" w:hAnsi="仿宋" w:eastAsia="仿宋" w:cs="仿宋"/>
          <w:sz w:val="32"/>
          <w:szCs w:val="32"/>
        </w:rPr>
        <w:t>〕第</w:t>
      </w:r>
      <w:r>
        <w:rPr>
          <w:rFonts w:ascii="仿宋" w:hAnsi="仿宋" w:eastAsia="仿宋" w:cs="仿宋"/>
          <w:sz w:val="32"/>
          <w:szCs w:val="32"/>
        </w:rPr>
        <w:t>D00070</w:t>
      </w:r>
      <w:r>
        <w:rPr>
          <w:rFonts w:hint="eastAsia" w:ascii="仿宋" w:hAnsi="仿宋" w:eastAsia="仿宋" w:cs="仿宋"/>
          <w:sz w:val="32"/>
          <w:szCs w:val="32"/>
        </w:rPr>
        <w:t>号。经市自然资源和规划局直属一分局</w:t>
      </w:r>
      <w:r>
        <w:rPr>
          <w:rFonts w:ascii="仿宋" w:hAnsi="仿宋" w:eastAsia="仿宋" w:cs="仿宋"/>
          <w:sz w:val="32"/>
          <w:szCs w:val="32"/>
        </w:rPr>
        <w:t>2020</w:t>
      </w:r>
      <w:r>
        <w:rPr>
          <w:rFonts w:hint="eastAsia" w:ascii="仿宋" w:hAnsi="仿宋" w:eastAsia="仿宋" w:cs="仿宋"/>
          <w:sz w:val="32"/>
          <w:szCs w:val="32"/>
        </w:rPr>
        <w:t>年第</w:t>
      </w:r>
      <w:r>
        <w:rPr>
          <w:rFonts w:ascii="仿宋" w:hAnsi="仿宋" w:eastAsia="仿宋" w:cs="仿宋"/>
          <w:sz w:val="32"/>
          <w:szCs w:val="32"/>
        </w:rPr>
        <w:t>04</w:t>
      </w:r>
      <w:r>
        <w:rPr>
          <w:rFonts w:hint="eastAsia" w:ascii="仿宋" w:hAnsi="仿宋" w:eastAsia="仿宋" w:cs="仿宋"/>
          <w:sz w:val="32"/>
          <w:szCs w:val="32"/>
        </w:rPr>
        <w:t>期例会研究，认定湖南民之源有限公司该宗用地符合土地利用总体规划，属二类工业用地范围。</w:t>
      </w:r>
    </w:p>
    <w:p>
      <w:pPr>
        <w:tabs>
          <w:tab w:val="left" w:pos="2925"/>
        </w:tabs>
        <w:spacing w:line="540" w:lineRule="exact"/>
        <w:ind w:firstLine="640" w:firstLineChars="200"/>
        <w:rPr>
          <w:rFonts w:ascii="仿宋" w:hAnsi="仿宋" w:eastAsia="仿宋"/>
          <w:sz w:val="32"/>
          <w:szCs w:val="32"/>
        </w:rPr>
      </w:pPr>
      <w:r>
        <w:rPr>
          <w:rFonts w:hint="eastAsia" w:ascii="仿宋" w:hAnsi="仿宋" w:eastAsia="仿宋" w:cs="仿宋"/>
          <w:sz w:val="32"/>
          <w:szCs w:val="32"/>
        </w:rPr>
        <w:t>八、如需对本项目核准文件所规定的建设地点、主要建设内容等进行调整，请按照相关规定及时提出变更申请，我委将根据项目具体情况，作出是否同意变更的书面决定。</w:t>
      </w:r>
    </w:p>
    <w:p>
      <w:pPr>
        <w:tabs>
          <w:tab w:val="left" w:pos="2925"/>
        </w:tabs>
        <w:spacing w:line="540" w:lineRule="exact"/>
        <w:ind w:firstLine="640" w:firstLineChars="200"/>
        <w:rPr>
          <w:rFonts w:ascii="仿宋" w:hAnsi="仿宋" w:eastAsia="仿宋"/>
          <w:sz w:val="32"/>
          <w:szCs w:val="32"/>
        </w:rPr>
      </w:pPr>
      <w:r>
        <w:rPr>
          <w:rFonts w:hint="eastAsia" w:ascii="仿宋" w:hAnsi="仿宋" w:eastAsia="仿宋" w:cs="仿宋"/>
          <w:sz w:val="32"/>
          <w:szCs w:val="32"/>
        </w:rPr>
        <w:t>九、本项目核准文件有效期为</w:t>
      </w:r>
      <w:r>
        <w:rPr>
          <w:rFonts w:ascii="仿宋" w:hAnsi="仿宋" w:eastAsia="仿宋" w:cs="仿宋"/>
          <w:sz w:val="32"/>
          <w:szCs w:val="32"/>
        </w:rPr>
        <w:t>2</w:t>
      </w:r>
      <w:r>
        <w:rPr>
          <w:rFonts w:hint="eastAsia" w:ascii="仿宋" w:hAnsi="仿宋" w:eastAsia="仿宋" w:cs="仿宋"/>
          <w:sz w:val="32"/>
          <w:szCs w:val="32"/>
        </w:rPr>
        <w:t>年，自发文之日起计算，在核准文件有效期内未开工建设的，应在核准文件有效期届满</w:t>
      </w:r>
      <w:r>
        <w:rPr>
          <w:rFonts w:ascii="仿宋" w:hAnsi="仿宋" w:eastAsia="仿宋" w:cs="仿宋"/>
          <w:sz w:val="32"/>
          <w:szCs w:val="32"/>
        </w:rPr>
        <w:t>30</w:t>
      </w:r>
      <w:r>
        <w:rPr>
          <w:rFonts w:hint="eastAsia" w:ascii="仿宋" w:hAnsi="仿宋" w:eastAsia="仿宋" w:cs="仿宋"/>
          <w:sz w:val="32"/>
          <w:szCs w:val="32"/>
        </w:rPr>
        <w:t>日前向我委申请延期。项目在核准文件有效期内未开工建设也未申请延期的，或虽提出延期申请但未获批准的，本核准文件自动失效。</w:t>
      </w:r>
    </w:p>
    <w:p>
      <w:pPr>
        <w:spacing w:line="540" w:lineRule="exact"/>
        <w:rPr>
          <w:rFonts w:ascii="仿宋" w:hAnsi="仿宋" w:eastAsia="仿宋"/>
          <w:sz w:val="32"/>
          <w:szCs w:val="32"/>
        </w:rPr>
      </w:pPr>
    </w:p>
    <w:p>
      <w:pPr>
        <w:spacing w:line="540" w:lineRule="exact"/>
        <w:ind w:firstLine="4480" w:firstLineChars="1400"/>
        <w:jc w:val="right"/>
        <w:rPr>
          <w:rFonts w:ascii="仿宋" w:hAnsi="仿宋" w:eastAsia="仿宋"/>
          <w:sz w:val="32"/>
          <w:szCs w:val="32"/>
        </w:rPr>
      </w:pPr>
      <w:r>
        <w:rPr>
          <w:rFonts w:hint="eastAsia" w:ascii="仿宋" w:hAnsi="仿宋" w:eastAsia="仿宋" w:cs="仿宋"/>
          <w:sz w:val="32"/>
          <w:szCs w:val="32"/>
        </w:rPr>
        <w:t>益阳市发展和改革委员会</w:t>
      </w:r>
    </w:p>
    <w:p>
      <w:pPr>
        <w:spacing w:line="540" w:lineRule="exact"/>
        <w:ind w:firstLine="4960" w:firstLineChars="1550"/>
        <w:jc w:val="center"/>
        <w:rPr>
          <w:rFonts w:ascii="仿宋" w:hAnsi="仿宋" w:eastAsia="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w:t>
      </w:r>
    </w:p>
    <w:p>
      <w:pPr>
        <w:spacing w:line="540" w:lineRule="exact"/>
        <w:rPr>
          <w:rFonts w:ascii="仿宋" w:hAnsi="仿宋" w:eastAsia="仿宋"/>
          <w:sz w:val="32"/>
          <w:szCs w:val="32"/>
        </w:rPr>
      </w:pPr>
    </w:p>
    <w:p>
      <w:pPr>
        <w:spacing w:line="540" w:lineRule="exact"/>
        <w:ind w:left="-210" w:leftChars="-100" w:right="-210" w:rightChars="-100" w:firstLine="210" w:firstLineChars="100"/>
        <w:rPr>
          <w:rFonts w:ascii="仿宋" w:hAnsi="仿宋" w:eastAsia="仿宋"/>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419100</wp:posOffset>
                </wp:positionV>
                <wp:extent cx="5692775" cy="0"/>
                <wp:effectExtent l="0" t="0" r="0" b="0"/>
                <wp:wrapNone/>
                <wp:docPr id="2" name="直线 3"/>
                <wp:cNvGraphicFramePr/>
                <a:graphic xmlns:a="http://schemas.openxmlformats.org/drawingml/2006/main">
                  <a:graphicData uri="http://schemas.microsoft.com/office/word/2010/wordprocessingShape">
                    <wps:wsp>
                      <wps:cNvSpPr/>
                      <wps:spPr>
                        <a:xfrm>
                          <a:off x="0" y="0"/>
                          <a:ext cx="5692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3pt;height:0pt;width:448.25pt;z-index:251658240;mso-width-relative:page;mso-height-relative:page;" filled="f" stroked="t" coordsize="21600,21600" o:gfxdata="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884zUAAAABgEAAA8AAAAAAAAAAQAgAAAAIgAAAGRycy9k&#10;b3ducmV2LnhtbFBLAQIUABQAAAAIAIdO4kArQN6SzQEAAI0DAAAOAAAAAAAAAAEAIAAAACM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5692775" cy="0"/>
                <wp:effectExtent l="0" t="0" r="0" b="0"/>
                <wp:wrapNone/>
                <wp:docPr id="1" name="直线 2"/>
                <wp:cNvGraphicFramePr/>
                <a:graphic xmlns:a="http://schemas.openxmlformats.org/drawingml/2006/main">
                  <a:graphicData uri="http://schemas.microsoft.com/office/word/2010/wordprocessingShape">
                    <wps:wsp>
                      <wps:cNvSpPr/>
                      <wps:spPr>
                        <a:xfrm>
                          <a:off x="0" y="0"/>
                          <a:ext cx="5692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9pt;height:0pt;width:448.25pt;z-index:251657216;mso-width-relative:page;mso-height-relative:page;" filled="f" stroked="t" coordsize="21600,21600" o:gfxdata="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9+sQ0wAAAAQBAAAPAAAAAAAAAAEAIAAAACIAAABkcnMvZG93&#10;bnJldi54bWxQSwECFAAUAAAACACHTuJAzKk3AcwBAACNAwAADgAAAAAAAAABACAAAAAiAQAAZHJz&#10;L2Uyb0RvYy54bWxQSwUGAAAAAAYABgBZAQAAYAUAAAAA&#10;">
                <v:fill on="f" focussize="0,0"/>
                <v:stroke color="#000000" joinstyle="round"/>
                <v:imagedata o:title=""/>
                <o:lock v:ext="edit" aspectratio="f"/>
              </v:line>
            </w:pict>
          </mc:Fallback>
        </mc:AlternateContent>
      </w:r>
      <w:r>
        <w:rPr>
          <w:rFonts w:hint="eastAsia" w:ascii="仿宋" w:hAnsi="仿宋" w:eastAsia="仿宋" w:cs="仿宋"/>
          <w:sz w:val="32"/>
          <w:szCs w:val="32"/>
        </w:rPr>
        <w:t>益阳市发展和改革委员会办公室</w:t>
      </w:r>
      <w:r>
        <w:rPr>
          <w:rFonts w:ascii="仿宋" w:hAnsi="仿宋" w:eastAsia="仿宋" w:cs="仿宋"/>
          <w:sz w:val="32"/>
          <w:szCs w:val="32"/>
        </w:rPr>
        <w:t xml:space="preserve">          2020</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日印发</w:t>
      </w:r>
    </w:p>
    <w:sectPr>
      <w:footerReference r:id="rId3" w:type="default"/>
      <w:pgSz w:w="11907" w:h="16840"/>
      <w:pgMar w:top="1588" w:right="1361" w:bottom="1418" w:left="1588"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cs="Times New Roman"/>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- 2 -</w:t>
    </w:r>
    <w:r>
      <w:rPr>
        <w:rStyle w:val="7"/>
        <w:rFonts w:ascii="宋体" w:hAnsi="宋体" w:cs="宋体"/>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75"/>
    <w:rsid w:val="000707E1"/>
    <w:rsid w:val="000C76C2"/>
    <w:rsid w:val="000D352A"/>
    <w:rsid w:val="00113DE5"/>
    <w:rsid w:val="001344C2"/>
    <w:rsid w:val="001860E4"/>
    <w:rsid w:val="001A54EB"/>
    <w:rsid w:val="001F1553"/>
    <w:rsid w:val="001F3D6F"/>
    <w:rsid w:val="0021390D"/>
    <w:rsid w:val="002442EA"/>
    <w:rsid w:val="0025609F"/>
    <w:rsid w:val="002601EB"/>
    <w:rsid w:val="00274BD4"/>
    <w:rsid w:val="002C2CBE"/>
    <w:rsid w:val="00304C4B"/>
    <w:rsid w:val="00313646"/>
    <w:rsid w:val="003C199A"/>
    <w:rsid w:val="003D77C7"/>
    <w:rsid w:val="003E7635"/>
    <w:rsid w:val="004B34EB"/>
    <w:rsid w:val="004C3F8A"/>
    <w:rsid w:val="0051373E"/>
    <w:rsid w:val="00542DE5"/>
    <w:rsid w:val="00574530"/>
    <w:rsid w:val="00607BB6"/>
    <w:rsid w:val="00620895"/>
    <w:rsid w:val="006226F9"/>
    <w:rsid w:val="00647116"/>
    <w:rsid w:val="006646D9"/>
    <w:rsid w:val="00665E1A"/>
    <w:rsid w:val="006A7DFC"/>
    <w:rsid w:val="006C2795"/>
    <w:rsid w:val="006E131C"/>
    <w:rsid w:val="00717175"/>
    <w:rsid w:val="00737A0B"/>
    <w:rsid w:val="0075515C"/>
    <w:rsid w:val="007C3273"/>
    <w:rsid w:val="008014FA"/>
    <w:rsid w:val="008611C4"/>
    <w:rsid w:val="008B0CF5"/>
    <w:rsid w:val="008C7EC9"/>
    <w:rsid w:val="0090348C"/>
    <w:rsid w:val="00920DC7"/>
    <w:rsid w:val="00924ADF"/>
    <w:rsid w:val="00946EDF"/>
    <w:rsid w:val="009C4978"/>
    <w:rsid w:val="009D09A4"/>
    <w:rsid w:val="009D5C59"/>
    <w:rsid w:val="00A20A0B"/>
    <w:rsid w:val="00A47FA2"/>
    <w:rsid w:val="00A77747"/>
    <w:rsid w:val="00B32DB5"/>
    <w:rsid w:val="00B960F1"/>
    <w:rsid w:val="00BA0EAB"/>
    <w:rsid w:val="00BC514E"/>
    <w:rsid w:val="00BF3FCD"/>
    <w:rsid w:val="00BF6F01"/>
    <w:rsid w:val="00C31458"/>
    <w:rsid w:val="00C53C64"/>
    <w:rsid w:val="00C838C1"/>
    <w:rsid w:val="00CB7FED"/>
    <w:rsid w:val="00CE080D"/>
    <w:rsid w:val="00CE5594"/>
    <w:rsid w:val="00CF3A92"/>
    <w:rsid w:val="00D6461C"/>
    <w:rsid w:val="00D703CF"/>
    <w:rsid w:val="00D853A3"/>
    <w:rsid w:val="00DA2871"/>
    <w:rsid w:val="00DD0EB5"/>
    <w:rsid w:val="00DE3CCA"/>
    <w:rsid w:val="00E4568C"/>
    <w:rsid w:val="00E63212"/>
    <w:rsid w:val="00EA390B"/>
    <w:rsid w:val="00ED56FE"/>
    <w:rsid w:val="00ED7384"/>
    <w:rsid w:val="00EF184A"/>
    <w:rsid w:val="00F0682F"/>
    <w:rsid w:val="00F23681"/>
    <w:rsid w:val="00F7169B"/>
    <w:rsid w:val="00F8181C"/>
    <w:rsid w:val="00FA5094"/>
    <w:rsid w:val="00FC4412"/>
    <w:rsid w:val="00FD4D09"/>
    <w:rsid w:val="012426AE"/>
    <w:rsid w:val="01BB7056"/>
    <w:rsid w:val="022C42BE"/>
    <w:rsid w:val="02EF4494"/>
    <w:rsid w:val="03E04894"/>
    <w:rsid w:val="04B96756"/>
    <w:rsid w:val="04EF3244"/>
    <w:rsid w:val="05177D87"/>
    <w:rsid w:val="086F2F5E"/>
    <w:rsid w:val="08B85A83"/>
    <w:rsid w:val="092763B8"/>
    <w:rsid w:val="0AEA1888"/>
    <w:rsid w:val="0B696A67"/>
    <w:rsid w:val="0C630659"/>
    <w:rsid w:val="0E8F628E"/>
    <w:rsid w:val="0EE023A9"/>
    <w:rsid w:val="0F5D07E5"/>
    <w:rsid w:val="105725C8"/>
    <w:rsid w:val="1121108C"/>
    <w:rsid w:val="11751780"/>
    <w:rsid w:val="133C7D9B"/>
    <w:rsid w:val="13BE400A"/>
    <w:rsid w:val="14702EAF"/>
    <w:rsid w:val="15CA1F74"/>
    <w:rsid w:val="180920FD"/>
    <w:rsid w:val="1A007B3A"/>
    <w:rsid w:val="1B743893"/>
    <w:rsid w:val="1C367932"/>
    <w:rsid w:val="1DEF0EA7"/>
    <w:rsid w:val="1F6E75D3"/>
    <w:rsid w:val="1FE63575"/>
    <w:rsid w:val="205406BB"/>
    <w:rsid w:val="206322A8"/>
    <w:rsid w:val="210559C1"/>
    <w:rsid w:val="21325465"/>
    <w:rsid w:val="214C455E"/>
    <w:rsid w:val="21694F18"/>
    <w:rsid w:val="2228750B"/>
    <w:rsid w:val="240C2178"/>
    <w:rsid w:val="240D1D9B"/>
    <w:rsid w:val="24786A4E"/>
    <w:rsid w:val="25B0565E"/>
    <w:rsid w:val="2715589A"/>
    <w:rsid w:val="2A627F20"/>
    <w:rsid w:val="2AC91BA8"/>
    <w:rsid w:val="2BFB0FA2"/>
    <w:rsid w:val="2E5C109C"/>
    <w:rsid w:val="311664E5"/>
    <w:rsid w:val="317D7A26"/>
    <w:rsid w:val="32AC7096"/>
    <w:rsid w:val="34134C3C"/>
    <w:rsid w:val="34B97CD0"/>
    <w:rsid w:val="37666C21"/>
    <w:rsid w:val="37A737DF"/>
    <w:rsid w:val="37E96C63"/>
    <w:rsid w:val="3A7A1F71"/>
    <w:rsid w:val="3AFA6099"/>
    <w:rsid w:val="3B2527B8"/>
    <w:rsid w:val="3D32509F"/>
    <w:rsid w:val="414B113C"/>
    <w:rsid w:val="447C66C3"/>
    <w:rsid w:val="459B28EB"/>
    <w:rsid w:val="46320AA7"/>
    <w:rsid w:val="46D8218C"/>
    <w:rsid w:val="46D85074"/>
    <w:rsid w:val="494B6F50"/>
    <w:rsid w:val="49DB33A7"/>
    <w:rsid w:val="4A6B0F16"/>
    <w:rsid w:val="4A8B67FC"/>
    <w:rsid w:val="4B092254"/>
    <w:rsid w:val="4C994A30"/>
    <w:rsid w:val="4CD77EAC"/>
    <w:rsid w:val="4D6C64FE"/>
    <w:rsid w:val="4FDC6C53"/>
    <w:rsid w:val="513468CC"/>
    <w:rsid w:val="52D017B3"/>
    <w:rsid w:val="53C819F4"/>
    <w:rsid w:val="567B47F5"/>
    <w:rsid w:val="56DF758B"/>
    <w:rsid w:val="59200A66"/>
    <w:rsid w:val="5A0B0D53"/>
    <w:rsid w:val="5A1924BD"/>
    <w:rsid w:val="5AD45933"/>
    <w:rsid w:val="5BEF0B9A"/>
    <w:rsid w:val="5C784F4E"/>
    <w:rsid w:val="5CE2658B"/>
    <w:rsid w:val="5CE8642C"/>
    <w:rsid w:val="5D8A6BCA"/>
    <w:rsid w:val="5DF7480C"/>
    <w:rsid w:val="5F005532"/>
    <w:rsid w:val="6032489F"/>
    <w:rsid w:val="6490462E"/>
    <w:rsid w:val="64930B12"/>
    <w:rsid w:val="64E9486A"/>
    <w:rsid w:val="66CC709E"/>
    <w:rsid w:val="66E33645"/>
    <w:rsid w:val="676A441C"/>
    <w:rsid w:val="68731F55"/>
    <w:rsid w:val="687D1504"/>
    <w:rsid w:val="69611FC7"/>
    <w:rsid w:val="6A241F2A"/>
    <w:rsid w:val="6B140EB7"/>
    <w:rsid w:val="6F6361BA"/>
    <w:rsid w:val="70037193"/>
    <w:rsid w:val="71C06647"/>
    <w:rsid w:val="7555011C"/>
    <w:rsid w:val="75D837D9"/>
    <w:rsid w:val="75F4413B"/>
    <w:rsid w:val="76080A98"/>
    <w:rsid w:val="77BE1751"/>
    <w:rsid w:val="78F43394"/>
    <w:rsid w:val="7917168A"/>
    <w:rsid w:val="79C75884"/>
    <w:rsid w:val="7A5F1C47"/>
    <w:rsid w:val="7B5570C2"/>
    <w:rsid w:val="7C0D6C99"/>
    <w:rsid w:val="7D1B432F"/>
    <w:rsid w:val="7E90076E"/>
    <w:rsid w:val="7FC245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7">
    <w:name w:val="page number"/>
    <w:basedOn w:val="6"/>
    <w:qFormat/>
    <w:uiPriority w:val="99"/>
  </w:style>
  <w:style w:type="character" w:customStyle="1" w:styleId="8">
    <w:name w:val="Balloon Text Char"/>
    <w:basedOn w:val="6"/>
    <w:link w:val="2"/>
    <w:semiHidden/>
    <w:locked/>
    <w:uiPriority w:val="99"/>
    <w:rPr>
      <w:rFonts w:ascii="Times New Roman" w:hAnsi="Times New Roman" w:cs="Times New Roman"/>
      <w:sz w:val="2"/>
      <w:szCs w:val="2"/>
    </w:rPr>
  </w:style>
  <w:style w:type="character" w:customStyle="1" w:styleId="9">
    <w:name w:val="Footer Char"/>
    <w:basedOn w:val="6"/>
    <w:link w:val="3"/>
    <w:semiHidden/>
    <w:locked/>
    <w:uiPriority w:val="99"/>
    <w:rPr>
      <w:sz w:val="18"/>
      <w:szCs w:val="18"/>
    </w:rPr>
  </w:style>
  <w:style w:type="character" w:customStyle="1" w:styleId="10">
    <w:name w:val="Header Char"/>
    <w:basedOn w:val="6"/>
    <w:link w:val="4"/>
    <w:semiHidden/>
    <w:qFormat/>
    <w:locked/>
    <w:uiPriority w:val="99"/>
    <w:rPr>
      <w:sz w:val="18"/>
      <w:szCs w:val="18"/>
    </w:rPr>
  </w:style>
  <w:style w:type="paragraph" w:customStyle="1" w:styleId="11">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151</Words>
  <Characters>866</Characters>
  <Lines>0</Lines>
  <Paragraphs>0</Paragraphs>
  <TotalTime>61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2020-07-21T00:50:00Z</dcterms:created>
  <dc:creator>shibo</dc:creator>
  <cp:lastModifiedBy>fdf</cp:lastModifiedBy>
  <cp:lastPrinted>2020-05-15T00:46:00Z</cp:lastPrinted>
  <dcterms:modified xsi:type="dcterms:W3CDTF">2020-10-19T07:35:47Z</dcterms:modified>
  <dc:title>益发改环资[2020]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